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6" w:rsidRDefault="00444D29" w:rsidP="004D37F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Guidance</w:t>
      </w:r>
      <w:r w:rsidR="00020166" w:rsidRPr="00020166">
        <w:rPr>
          <w:b/>
          <w:sz w:val="28"/>
          <w:szCs w:val="28"/>
          <w:u w:val="single"/>
        </w:rPr>
        <w:t xml:space="preserve"> on </w:t>
      </w:r>
      <w:r>
        <w:rPr>
          <w:b/>
          <w:sz w:val="28"/>
          <w:szCs w:val="28"/>
          <w:u w:val="single"/>
        </w:rPr>
        <w:t>Remobilisation of NHS Dental Services and the revised SDR Determination I (Amendment 144)</w:t>
      </w:r>
    </w:p>
    <w:p w:rsidR="00DF7819" w:rsidRPr="004D37F6" w:rsidRDefault="00DF7819" w:rsidP="004D37F6">
      <w:pPr>
        <w:jc w:val="both"/>
        <w:rPr>
          <w:b/>
          <w:u w:val="single"/>
        </w:rPr>
      </w:pPr>
      <w:r w:rsidRPr="004D37F6">
        <w:rPr>
          <w:b/>
          <w:u w:val="single"/>
        </w:rPr>
        <w:t>Background</w:t>
      </w:r>
    </w:p>
    <w:p w:rsidR="00673435" w:rsidRPr="00673435" w:rsidRDefault="00137B56" w:rsidP="00673435">
      <w:pPr>
        <w:jc w:val="both"/>
        <w:rPr>
          <w:rFonts w:cstheme="minorHAnsi"/>
        </w:rPr>
      </w:pPr>
      <w:hyperlink r:id="rId11" w:history="1">
        <w:r w:rsidR="001F2641" w:rsidRPr="00121826">
          <w:rPr>
            <w:rStyle w:val="Hyperlink"/>
            <w:rFonts w:cstheme="minorHAnsi"/>
          </w:rPr>
          <w:t>PCA(D)(2020)9</w:t>
        </w:r>
      </w:hyperlink>
      <w:r w:rsidR="00382909">
        <w:rPr>
          <w:rFonts w:cstheme="minorHAnsi"/>
        </w:rPr>
        <w:t xml:space="preserve"> </w:t>
      </w:r>
      <w:r w:rsidR="00673435" w:rsidRPr="00673435">
        <w:rPr>
          <w:rFonts w:cstheme="minorHAnsi"/>
        </w:rPr>
        <w:t xml:space="preserve">issued by Scottish Government on </w:t>
      </w:r>
      <w:r w:rsidR="001F2641">
        <w:rPr>
          <w:rFonts w:cstheme="minorHAnsi"/>
        </w:rPr>
        <w:t>15</w:t>
      </w:r>
      <w:r w:rsidR="00673435" w:rsidRPr="00673435">
        <w:rPr>
          <w:rFonts w:cstheme="minorHAnsi"/>
        </w:rPr>
        <w:t xml:space="preserve"> </w:t>
      </w:r>
      <w:r w:rsidR="00382909">
        <w:rPr>
          <w:rFonts w:cstheme="minorHAnsi"/>
        </w:rPr>
        <w:t>June</w:t>
      </w:r>
      <w:r w:rsidR="00673435" w:rsidRPr="00673435">
        <w:rPr>
          <w:rFonts w:cstheme="minorHAnsi"/>
        </w:rPr>
        <w:t xml:space="preserve"> 2020 </w:t>
      </w:r>
      <w:r w:rsidR="00382909">
        <w:rPr>
          <w:rFonts w:cstheme="minorHAnsi"/>
        </w:rPr>
        <w:t>is</w:t>
      </w:r>
      <w:r w:rsidR="00673435" w:rsidRPr="00673435">
        <w:rPr>
          <w:rFonts w:cstheme="minorHAnsi"/>
        </w:rPr>
        <w:t xml:space="preserve"> centred </w:t>
      </w:r>
      <w:r w:rsidR="00444D29">
        <w:rPr>
          <w:rFonts w:cstheme="minorHAnsi"/>
        </w:rPr>
        <w:t>on</w:t>
      </w:r>
      <w:r w:rsidR="00673435" w:rsidRPr="00673435">
        <w:rPr>
          <w:rFonts w:cstheme="minorHAnsi"/>
        </w:rPr>
        <w:t xml:space="preserve"> preparing practices to </w:t>
      </w:r>
      <w:r w:rsidR="00053319">
        <w:rPr>
          <w:rFonts w:cstheme="minorHAnsi"/>
        </w:rPr>
        <w:t xml:space="preserve">resume </w:t>
      </w:r>
      <w:r w:rsidR="00FD5167">
        <w:rPr>
          <w:rFonts w:cstheme="minorHAnsi"/>
        </w:rPr>
        <w:t xml:space="preserve">treating patients </w:t>
      </w:r>
      <w:r w:rsidR="00053319">
        <w:rPr>
          <w:rFonts w:cstheme="minorHAnsi"/>
        </w:rPr>
        <w:t>on a phased basis.</w:t>
      </w:r>
      <w:r w:rsidR="00971984">
        <w:rPr>
          <w:rFonts w:cstheme="minorHAnsi"/>
        </w:rPr>
        <w:t xml:space="preserve"> </w:t>
      </w:r>
    </w:p>
    <w:p w:rsidR="0034574D" w:rsidRDefault="0034574D" w:rsidP="0034574D">
      <w:pPr>
        <w:jc w:val="both"/>
      </w:pPr>
      <w:r w:rsidRPr="00053319">
        <w:t>Phase 1</w:t>
      </w:r>
      <w:r w:rsidR="00053319" w:rsidRPr="00053319">
        <w:t>:</w:t>
      </w:r>
      <w:r>
        <w:t xml:space="preserve">  Increasing capacity in </w:t>
      </w:r>
      <w:r w:rsidR="00053319">
        <w:t>Urgent Dental Care C</w:t>
      </w:r>
      <w:r>
        <w:t>entres (UDCCs);</w:t>
      </w:r>
    </w:p>
    <w:p w:rsidR="0034574D" w:rsidRDefault="00B63099" w:rsidP="0034574D">
      <w:pPr>
        <w:tabs>
          <w:tab w:val="left" w:pos="720"/>
          <w:tab w:val="left" w:pos="1440"/>
          <w:tab w:val="left" w:pos="2160"/>
          <w:tab w:val="left" w:pos="2880"/>
          <w:tab w:val="right" w:pos="9907"/>
          <w:tab w:val="right" w:pos="10170"/>
        </w:tabs>
        <w:spacing w:after="0" w:line="240" w:lineRule="auto"/>
      </w:pPr>
      <w:r>
        <w:t>Phase 2</w:t>
      </w:r>
      <w:r w:rsidR="00053319">
        <w:t>:</w:t>
      </w:r>
      <w:r w:rsidR="0034574D">
        <w:t xml:space="preserve">  All </w:t>
      </w:r>
      <w:r w:rsidR="00857C5B">
        <w:t xml:space="preserve">NHS </w:t>
      </w:r>
      <w:r w:rsidR="0034574D">
        <w:t xml:space="preserve">dental practices </w:t>
      </w:r>
      <w:r w:rsidR="007E695C">
        <w:t>will</w:t>
      </w:r>
      <w:r w:rsidR="0034574D">
        <w:t xml:space="preserve"> open </w:t>
      </w:r>
      <w:r w:rsidR="007E695C">
        <w:t>to</w:t>
      </w:r>
      <w:r w:rsidR="0034574D">
        <w:t xml:space="preserve"> face-to-face consultation </w:t>
      </w:r>
      <w:r w:rsidR="00053319">
        <w:t>with</w:t>
      </w:r>
      <w:r w:rsidR="0034574D">
        <w:t xml:space="preserve"> patients who require urgent dental care</w:t>
      </w:r>
      <w:r w:rsidR="00053319">
        <w:t xml:space="preserve"> </w:t>
      </w:r>
      <w:r w:rsidR="007E695C">
        <w:t>that can be provided using non-aerosol generating p</w:t>
      </w:r>
      <w:r w:rsidR="0034574D">
        <w:t>rocedures (AGPs);</w:t>
      </w:r>
    </w:p>
    <w:p w:rsidR="0034574D" w:rsidRDefault="0034574D" w:rsidP="0034574D">
      <w:pPr>
        <w:tabs>
          <w:tab w:val="left" w:pos="720"/>
          <w:tab w:val="left" w:pos="1440"/>
          <w:tab w:val="left" w:pos="2160"/>
          <w:tab w:val="left" w:pos="2880"/>
          <w:tab w:val="right" w:pos="9907"/>
          <w:tab w:val="right" w:pos="10170"/>
        </w:tabs>
        <w:spacing w:after="0" w:line="240" w:lineRule="auto"/>
        <w:rPr>
          <w:i/>
        </w:rPr>
      </w:pPr>
    </w:p>
    <w:p w:rsidR="00673435" w:rsidRDefault="00E8636B" w:rsidP="00053319">
      <w:pPr>
        <w:tabs>
          <w:tab w:val="left" w:pos="720"/>
          <w:tab w:val="left" w:pos="1440"/>
          <w:tab w:val="left" w:pos="2160"/>
          <w:tab w:val="left" w:pos="2880"/>
          <w:tab w:val="right" w:pos="9907"/>
          <w:tab w:val="right" w:pos="10170"/>
        </w:tabs>
        <w:spacing w:after="0" w:line="240" w:lineRule="auto"/>
      </w:pPr>
      <w:r>
        <w:t>Phase 3</w:t>
      </w:r>
      <w:r w:rsidR="00053319">
        <w:t>:</w:t>
      </w:r>
      <w:r w:rsidR="00AF3BB2">
        <w:t xml:space="preserve">  As phase 2</w:t>
      </w:r>
      <w:r w:rsidR="00053319">
        <w:t>,</w:t>
      </w:r>
      <w:r w:rsidR="0034574D">
        <w:t xml:space="preserve"> but </w:t>
      </w:r>
      <w:r w:rsidR="007E695C">
        <w:t xml:space="preserve">in addition </w:t>
      </w:r>
      <w:r w:rsidR="0034574D">
        <w:t xml:space="preserve">practices </w:t>
      </w:r>
      <w:r w:rsidR="007E695C">
        <w:t>will</w:t>
      </w:r>
      <w:r w:rsidR="0034574D">
        <w:t xml:space="preserve"> see patients for routine care, including examination and treatments that</w:t>
      </w:r>
      <w:r w:rsidR="002F4E5C">
        <w:t xml:space="preserve"> can be provided using non-AGPs;</w:t>
      </w:r>
    </w:p>
    <w:p w:rsidR="00FD5167" w:rsidRDefault="00FD5167" w:rsidP="00053319">
      <w:pPr>
        <w:tabs>
          <w:tab w:val="left" w:pos="720"/>
          <w:tab w:val="left" w:pos="1440"/>
          <w:tab w:val="left" w:pos="2160"/>
          <w:tab w:val="left" w:pos="2880"/>
          <w:tab w:val="right" w:pos="9907"/>
          <w:tab w:val="right" w:pos="10170"/>
        </w:tabs>
        <w:spacing w:after="0" w:line="240" w:lineRule="auto"/>
      </w:pPr>
    </w:p>
    <w:p w:rsidR="00FD5167" w:rsidRDefault="00FD5167" w:rsidP="00FD5167">
      <w:pPr>
        <w:jc w:val="both"/>
        <w:rPr>
          <w:rFonts w:cstheme="minorHAnsi"/>
        </w:rPr>
      </w:pPr>
      <w:r>
        <w:rPr>
          <w:rFonts w:cstheme="minorHAnsi"/>
        </w:rPr>
        <w:t xml:space="preserve">Phase </w:t>
      </w:r>
      <w:r w:rsidR="00E8636B">
        <w:rPr>
          <w:rFonts w:cstheme="minorHAnsi"/>
        </w:rPr>
        <w:t>4</w:t>
      </w:r>
      <w:r w:rsidR="00E86E7A">
        <w:rPr>
          <w:rFonts w:cstheme="minorHAnsi"/>
        </w:rPr>
        <w:t>: Introduction of some AGP</w:t>
      </w:r>
      <w:r>
        <w:rPr>
          <w:rFonts w:cstheme="minorHAnsi"/>
        </w:rPr>
        <w:t>s to dental practices.</w:t>
      </w:r>
    </w:p>
    <w:p w:rsidR="007E695C" w:rsidRPr="00053319" w:rsidRDefault="007E695C" w:rsidP="007E695C">
      <w:pPr>
        <w:jc w:val="both"/>
      </w:pPr>
      <w:r>
        <w:rPr>
          <w:b/>
          <w:u w:val="single"/>
        </w:rPr>
        <w:t>Purpose of this document</w:t>
      </w:r>
    </w:p>
    <w:p w:rsidR="007E695C" w:rsidRDefault="007E695C" w:rsidP="007E695C">
      <w:pPr>
        <w:jc w:val="both"/>
        <w:rPr>
          <w:rFonts w:cstheme="minorHAnsi"/>
        </w:rPr>
      </w:pPr>
      <w:r>
        <w:rPr>
          <w:rFonts w:cstheme="minorHAnsi"/>
        </w:rPr>
        <w:t xml:space="preserve">This document provides </w:t>
      </w:r>
      <w:r w:rsidR="002B3952">
        <w:rPr>
          <w:rFonts w:cstheme="minorHAnsi"/>
        </w:rPr>
        <w:t xml:space="preserve">guidance on the treatment that can be carried out by </w:t>
      </w:r>
      <w:r w:rsidR="00857C5B">
        <w:rPr>
          <w:rFonts w:cstheme="minorHAnsi"/>
        </w:rPr>
        <w:t>NHS General Dental Practitioners</w:t>
      </w:r>
      <w:r w:rsidR="002B3952">
        <w:rPr>
          <w:rFonts w:cstheme="minorHAnsi"/>
        </w:rPr>
        <w:t xml:space="preserve"> and Urgent Dental Care Centres</w:t>
      </w:r>
      <w:r w:rsidR="00BC0B82">
        <w:rPr>
          <w:rFonts w:cstheme="minorHAnsi"/>
        </w:rPr>
        <w:t xml:space="preserve">, along with details of the new triage </w:t>
      </w:r>
      <w:r w:rsidR="00444D29">
        <w:rPr>
          <w:rFonts w:cstheme="minorHAnsi"/>
        </w:rPr>
        <w:t>codes within SDR144</w:t>
      </w:r>
      <w:r w:rsidR="00BC0B82">
        <w:rPr>
          <w:rFonts w:cstheme="minorHAnsi"/>
        </w:rPr>
        <w:t xml:space="preserve"> that </w:t>
      </w:r>
      <w:r w:rsidR="00444D29">
        <w:rPr>
          <w:rFonts w:cstheme="minorHAnsi"/>
        </w:rPr>
        <w:t>should</w:t>
      </w:r>
      <w:r w:rsidR="00BC0B82">
        <w:rPr>
          <w:rFonts w:cstheme="minorHAnsi"/>
        </w:rPr>
        <w:t xml:space="preserve"> be recorded. It also provides information on other areas, including </w:t>
      </w:r>
      <w:r w:rsidR="00857C5B">
        <w:rPr>
          <w:rFonts w:cstheme="minorHAnsi"/>
        </w:rPr>
        <w:t>the suspen</w:t>
      </w:r>
      <w:r w:rsidR="00444D29">
        <w:rPr>
          <w:rFonts w:cstheme="minorHAnsi"/>
        </w:rPr>
        <w:t>sion of patient and patient rep</w:t>
      </w:r>
      <w:r w:rsidR="00857C5B">
        <w:rPr>
          <w:rFonts w:cstheme="minorHAnsi"/>
        </w:rPr>
        <w:t>resentative</w:t>
      </w:r>
      <w:r w:rsidR="00BC0B82">
        <w:rPr>
          <w:rFonts w:cstheme="minorHAnsi"/>
        </w:rPr>
        <w:t xml:space="preserve"> signatures, prior approval and your supplier making their new software available.</w:t>
      </w:r>
    </w:p>
    <w:p w:rsidR="00053319" w:rsidRPr="00053319" w:rsidRDefault="00FD5167" w:rsidP="00FD5167">
      <w:pPr>
        <w:jc w:val="both"/>
      </w:pPr>
      <w:r>
        <w:rPr>
          <w:b/>
          <w:u w:val="single"/>
        </w:rPr>
        <w:t>Where are we now?</w:t>
      </w:r>
    </w:p>
    <w:p w:rsidR="003F07A9" w:rsidRDefault="00673435" w:rsidP="004D37F6">
      <w:pPr>
        <w:jc w:val="both"/>
        <w:rPr>
          <w:rFonts w:cstheme="minorHAnsi"/>
        </w:rPr>
      </w:pPr>
      <w:r w:rsidRPr="00673435">
        <w:rPr>
          <w:rFonts w:cstheme="minorHAnsi"/>
        </w:rPr>
        <w:t>Ph</w:t>
      </w:r>
      <w:r w:rsidR="000F1A16">
        <w:rPr>
          <w:rFonts w:cstheme="minorHAnsi"/>
        </w:rPr>
        <w:t>ase 2</w:t>
      </w:r>
      <w:r w:rsidR="00053319">
        <w:rPr>
          <w:rFonts w:cstheme="minorHAnsi"/>
        </w:rPr>
        <w:t xml:space="preserve"> is the immediate focus</w:t>
      </w:r>
      <w:r w:rsidR="00FD5167">
        <w:rPr>
          <w:rFonts w:cstheme="minorHAnsi"/>
        </w:rPr>
        <w:t xml:space="preserve"> and </w:t>
      </w:r>
      <w:r w:rsidR="00857C5B">
        <w:rPr>
          <w:rFonts w:cstheme="minorHAnsi"/>
        </w:rPr>
        <w:t xml:space="preserve">NHS </w:t>
      </w:r>
      <w:r w:rsidR="00FD5167">
        <w:rPr>
          <w:rFonts w:cstheme="minorHAnsi"/>
        </w:rPr>
        <w:t xml:space="preserve">dental practices </w:t>
      </w:r>
      <w:r w:rsidR="002B3952">
        <w:rPr>
          <w:rFonts w:cstheme="minorHAnsi"/>
        </w:rPr>
        <w:t>will be able to</w:t>
      </w:r>
      <w:r w:rsidR="00FD5167">
        <w:rPr>
          <w:rFonts w:cstheme="minorHAnsi"/>
        </w:rPr>
        <w:t xml:space="preserve"> re-open</w:t>
      </w:r>
      <w:r w:rsidR="00E00277">
        <w:rPr>
          <w:rFonts w:cstheme="minorHAnsi"/>
        </w:rPr>
        <w:t xml:space="preserve"> </w:t>
      </w:r>
      <w:r w:rsidR="00B21CB0">
        <w:rPr>
          <w:rFonts w:cstheme="minorHAnsi"/>
        </w:rPr>
        <w:t xml:space="preserve">one surgery </w:t>
      </w:r>
      <w:r w:rsidR="00E00277">
        <w:rPr>
          <w:rFonts w:cstheme="minorHAnsi"/>
        </w:rPr>
        <w:t xml:space="preserve">from </w:t>
      </w:r>
      <w:r w:rsidR="00801388">
        <w:rPr>
          <w:rFonts w:cstheme="minorHAnsi"/>
        </w:rPr>
        <w:t>Monday the 22</w:t>
      </w:r>
      <w:r w:rsidR="00801388" w:rsidRPr="00801388">
        <w:rPr>
          <w:rFonts w:cstheme="minorHAnsi"/>
          <w:vertAlign w:val="superscript"/>
        </w:rPr>
        <w:t>nd</w:t>
      </w:r>
      <w:r w:rsidR="00801388">
        <w:rPr>
          <w:rFonts w:cstheme="minorHAnsi"/>
        </w:rPr>
        <w:t xml:space="preserve"> of June 2020</w:t>
      </w:r>
      <w:r w:rsidR="00053319">
        <w:rPr>
          <w:rFonts w:cstheme="minorHAnsi"/>
        </w:rPr>
        <w:t xml:space="preserve">. </w:t>
      </w:r>
      <w:r w:rsidR="00FD5167">
        <w:rPr>
          <w:rFonts w:cstheme="minorHAnsi"/>
        </w:rPr>
        <w:t>A new</w:t>
      </w:r>
      <w:r w:rsidRPr="00673435">
        <w:rPr>
          <w:rFonts w:cstheme="minorHAnsi"/>
        </w:rPr>
        <w:t xml:space="preserve"> restricted </w:t>
      </w:r>
      <w:r w:rsidR="00C85148">
        <w:rPr>
          <w:rFonts w:cstheme="minorHAnsi"/>
        </w:rPr>
        <w:t>Statement of Dental Remuneration (</w:t>
      </w:r>
      <w:r w:rsidRPr="00673435">
        <w:rPr>
          <w:rFonts w:cstheme="minorHAnsi"/>
        </w:rPr>
        <w:t>SDR</w:t>
      </w:r>
      <w:r w:rsidR="00C85148">
        <w:rPr>
          <w:rFonts w:cstheme="minorHAnsi"/>
        </w:rPr>
        <w:t>)</w:t>
      </w:r>
      <w:r w:rsidRPr="00673435">
        <w:rPr>
          <w:rFonts w:cstheme="minorHAnsi"/>
        </w:rPr>
        <w:t xml:space="preserve"> </w:t>
      </w:r>
      <w:r w:rsidR="00FD5167" w:rsidRPr="00673435">
        <w:rPr>
          <w:rFonts w:cstheme="minorHAnsi"/>
        </w:rPr>
        <w:t xml:space="preserve">will </w:t>
      </w:r>
      <w:r w:rsidR="00FD5167">
        <w:rPr>
          <w:rFonts w:cstheme="minorHAnsi"/>
        </w:rPr>
        <w:t>be published with details of the treatments that can be carried out</w:t>
      </w:r>
      <w:r w:rsidR="00E00277">
        <w:rPr>
          <w:rFonts w:cstheme="minorHAnsi"/>
        </w:rPr>
        <w:t xml:space="preserve">. SDR144 </w:t>
      </w:r>
      <w:r w:rsidR="00121826">
        <w:rPr>
          <w:rFonts w:cstheme="minorHAnsi"/>
        </w:rPr>
        <w:t>will be effective from the date specified by the Scottish Government</w:t>
      </w:r>
      <w:r w:rsidR="00801388">
        <w:rPr>
          <w:rFonts w:cstheme="minorHAnsi"/>
        </w:rPr>
        <w:t>(22</w:t>
      </w:r>
      <w:r w:rsidR="00801388" w:rsidRPr="00801388">
        <w:rPr>
          <w:rFonts w:cstheme="minorHAnsi"/>
          <w:vertAlign w:val="superscript"/>
        </w:rPr>
        <w:t>nd</w:t>
      </w:r>
      <w:r w:rsidR="00801388">
        <w:rPr>
          <w:rFonts w:cstheme="minorHAnsi"/>
        </w:rPr>
        <w:t xml:space="preserve"> of June2020)</w:t>
      </w:r>
      <w:bookmarkStart w:id="0" w:name="_GoBack"/>
      <w:bookmarkEnd w:id="0"/>
      <w:r w:rsidR="00121826">
        <w:rPr>
          <w:rFonts w:cstheme="minorHAnsi"/>
        </w:rPr>
        <w:t xml:space="preserve"> and will be available to</w:t>
      </w:r>
      <w:r w:rsidR="00971984">
        <w:rPr>
          <w:rFonts w:cstheme="minorHAnsi"/>
        </w:rPr>
        <w:t xml:space="preserve"> </w:t>
      </w:r>
      <w:r w:rsidR="00121826">
        <w:rPr>
          <w:rFonts w:cstheme="minorHAnsi"/>
        </w:rPr>
        <w:t>view</w:t>
      </w:r>
      <w:r w:rsidR="00971984">
        <w:rPr>
          <w:rFonts w:cstheme="minorHAnsi"/>
        </w:rPr>
        <w:t xml:space="preserve"> on </w:t>
      </w:r>
      <w:hyperlink r:id="rId12" w:history="1">
        <w:r w:rsidR="00971984" w:rsidRPr="00C60563">
          <w:rPr>
            <w:rStyle w:val="Hyperlink"/>
            <w:rFonts w:cstheme="minorHAnsi"/>
          </w:rPr>
          <w:t>http://www.scottishdental.org/</w:t>
        </w:r>
      </w:hyperlink>
      <w:r w:rsidR="00121826">
        <w:rPr>
          <w:rFonts w:cstheme="minorHAnsi"/>
        </w:rPr>
        <w:t>.</w:t>
      </w:r>
    </w:p>
    <w:p w:rsidR="006A2A02" w:rsidRDefault="009B51AA" w:rsidP="009B51AA">
      <w:pPr>
        <w:jc w:val="both"/>
      </w:pPr>
      <w:r>
        <w:rPr>
          <w:rFonts w:cstheme="minorHAnsi"/>
        </w:rPr>
        <w:t xml:space="preserve">For all </w:t>
      </w:r>
      <w:r>
        <w:t xml:space="preserve">claims with an acceptance date on or after </w:t>
      </w:r>
      <w:r w:rsidR="00121826">
        <w:t>the date specified by the Scottish Government</w:t>
      </w:r>
      <w:r>
        <w:t xml:space="preserve">, the guidance </w:t>
      </w:r>
      <w:r w:rsidR="006A2A02">
        <w:t>below must be followed.</w:t>
      </w:r>
    </w:p>
    <w:p w:rsidR="009B51AA" w:rsidRPr="006A2A02" w:rsidRDefault="009B51AA" w:rsidP="009B51AA">
      <w:pPr>
        <w:jc w:val="both"/>
      </w:pPr>
      <w:r>
        <w:rPr>
          <w:b/>
          <w:u w:val="single"/>
        </w:rPr>
        <w:t>Triage</w:t>
      </w:r>
      <w:r w:rsidR="00AC6199">
        <w:rPr>
          <w:b/>
          <w:u w:val="single"/>
        </w:rPr>
        <w:t xml:space="preserve"> of patients</w:t>
      </w:r>
    </w:p>
    <w:p w:rsidR="009B51AA" w:rsidRDefault="00444D29" w:rsidP="009B51AA">
      <w:pPr>
        <w:jc w:val="both"/>
      </w:pPr>
      <w:r>
        <w:t>When patients contact the practice and triage is carried out, this activity should be recorded.</w:t>
      </w:r>
    </w:p>
    <w:p w:rsidR="002F4E5C" w:rsidRDefault="002F4E5C" w:rsidP="002F4E5C">
      <w:pPr>
        <w:jc w:val="both"/>
      </w:pPr>
      <w:r>
        <w:t xml:space="preserve">A new section has been added to SDR144 for ‘Triage Activity’, with nine new codes added under item 80. </w:t>
      </w:r>
      <w:r w:rsidR="00AC6199">
        <w:t>The code</w:t>
      </w:r>
      <w:r>
        <w:t xml:space="preserve"> </w:t>
      </w:r>
      <w:r w:rsidR="00AC6199">
        <w:t>appropriate to the result of the patient’s triage must be</w:t>
      </w:r>
      <w:r>
        <w:t xml:space="preserve"> add</w:t>
      </w:r>
      <w:r w:rsidR="00AC6199">
        <w:t>ed</w:t>
      </w:r>
      <w:r>
        <w:t xml:space="preserve"> to each claim.</w:t>
      </w:r>
      <w:r w:rsidRPr="00496C33">
        <w:t xml:space="preserve"> </w:t>
      </w:r>
      <w:r w:rsidR="00AC6199">
        <w:t>It is possible an item 80 code will be the only item on a claim, as you may not be able to carry out the treatment necessary.</w:t>
      </w:r>
    </w:p>
    <w:p w:rsidR="002F4E5C" w:rsidRDefault="002F4E5C" w:rsidP="002F4E5C">
      <w:pPr>
        <w:jc w:val="both"/>
      </w:pPr>
      <w:r>
        <w:t xml:space="preserve">The new </w:t>
      </w:r>
      <w:r w:rsidR="00AC6199">
        <w:t xml:space="preserve">‘Triage Activity’ </w:t>
      </w:r>
      <w:r>
        <w:t>codes are:</w:t>
      </w:r>
    </w:p>
    <w:tbl>
      <w:tblPr>
        <w:tblW w:w="10485" w:type="dxa"/>
        <w:tblLook w:val="04A0"/>
      </w:tblPr>
      <w:tblGrid>
        <w:gridCol w:w="705"/>
        <w:gridCol w:w="2834"/>
        <w:gridCol w:w="3544"/>
        <w:gridCol w:w="1829"/>
        <w:gridCol w:w="722"/>
        <w:gridCol w:w="851"/>
      </w:tblGrid>
      <w:tr w:rsidR="00444D29" w:rsidRPr="00020166" w:rsidTr="00444D29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B"/>
          </w:tcPr>
          <w:p w:rsidR="00444D29" w:rsidRPr="00020166" w:rsidRDefault="00444D29" w:rsidP="0031272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2016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Item 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</w:tcPr>
          <w:p w:rsidR="00444D29" w:rsidRPr="00020166" w:rsidRDefault="00444D29" w:rsidP="007150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2016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2D69B"/>
          </w:tcPr>
          <w:p w:rsidR="00444D29" w:rsidRDefault="00444D29" w:rsidP="00583A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Explanation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B"/>
          </w:tcPr>
          <w:p w:rsidR="00444D29" w:rsidRDefault="00444D29" w:rsidP="00D14E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For use by NHS GDS or UDCC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</w:tcPr>
          <w:p w:rsidR="00444D29" w:rsidRPr="00020166" w:rsidRDefault="00444D29" w:rsidP="007150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2016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</w:tcPr>
          <w:p w:rsidR="00444D29" w:rsidRPr="00020166" w:rsidRDefault="00444D29" w:rsidP="007150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2016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Suffix</w:t>
            </w:r>
          </w:p>
        </w:tc>
      </w:tr>
      <w:tr w:rsidR="00D732F6" w:rsidRPr="00020166" w:rsidTr="00583A1A">
        <w:trPr>
          <w:trHeight w:val="1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Initial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020166">
              <w:rPr>
                <w:rFonts w:eastAsia="Times New Roman" w:cstheme="minorHAnsi"/>
                <w:lang w:eastAsia="en-GB"/>
              </w:rPr>
              <w:t xml:space="preserve">elephone 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020166">
              <w:rPr>
                <w:rFonts w:eastAsia="Times New Roman" w:cstheme="minorHAnsi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lang w:eastAsia="en-GB"/>
              </w:rPr>
              <w:t>triaging</w:t>
            </w:r>
            <w:r w:rsidRPr="00020166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5F116B" w:rsidP="005F116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Patient makes contact by t</w:t>
            </w:r>
            <w:r w:rsidR="00583A1A">
              <w:rPr>
                <w:rFonts w:eastAsia="Times New Roman" w:cstheme="minorHAnsi"/>
                <w:lang w:eastAsia="en-GB"/>
              </w:rPr>
              <w:t>elephone</w:t>
            </w:r>
            <w:r>
              <w:rPr>
                <w:rFonts w:eastAsia="Times New Roman" w:cstheme="minorHAnsi"/>
                <w:lang w:eastAsia="en-GB"/>
              </w:rPr>
              <w:t xml:space="preserve"> and</w:t>
            </w:r>
            <w:r w:rsidR="00583A1A">
              <w:rPr>
                <w:rFonts w:eastAsia="Times New Roman" w:cstheme="minorHAnsi"/>
                <w:lang w:eastAsia="en-GB"/>
              </w:rPr>
              <w:t xml:space="preserve"> discussion </w:t>
            </w:r>
            <w:r>
              <w:rPr>
                <w:rFonts w:eastAsia="Times New Roman" w:cstheme="minorHAnsi"/>
                <w:lang w:eastAsia="en-GB"/>
              </w:rPr>
              <w:t xml:space="preserve">takes place </w:t>
            </w:r>
            <w:r w:rsidR="00583A1A">
              <w:rPr>
                <w:rFonts w:eastAsia="Times New Roman" w:cstheme="minorHAnsi"/>
                <w:lang w:eastAsia="en-GB"/>
              </w:rPr>
              <w:t xml:space="preserve">with patient to determine the issues they are </w:t>
            </w:r>
            <w:r>
              <w:rPr>
                <w:rFonts w:eastAsia="Times New Roman" w:cstheme="minorHAnsi"/>
                <w:lang w:eastAsia="en-GB"/>
              </w:rPr>
              <w:t>experiencing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D14E65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14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b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Advice and 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020166">
              <w:rPr>
                <w:rFonts w:eastAsia="Times New Roman" w:cstheme="minorHAnsi"/>
                <w:lang w:eastAsia="en-GB"/>
              </w:rPr>
              <w:t xml:space="preserve">losing the 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020166">
              <w:rPr>
                <w:rFonts w:eastAsia="Times New Roman" w:cstheme="minorHAnsi"/>
                <w:lang w:eastAsia="en-GB"/>
              </w:rPr>
              <w:t xml:space="preserve">ase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583A1A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Providing </w:t>
            </w:r>
            <w:r w:rsidR="005F116B">
              <w:rPr>
                <w:rFonts w:eastAsia="Times New Roman" w:cstheme="minorHAnsi"/>
                <w:lang w:eastAsia="en-GB"/>
              </w:rPr>
              <w:t xml:space="preserve">only </w:t>
            </w:r>
            <w:r>
              <w:rPr>
                <w:rFonts w:eastAsia="Times New Roman" w:cstheme="minorHAnsi"/>
                <w:lang w:eastAsia="en-GB"/>
              </w:rPr>
              <w:t xml:space="preserve">advice to </w:t>
            </w:r>
            <w:r w:rsidR="005F116B">
              <w:rPr>
                <w:rFonts w:eastAsia="Times New Roman" w:cstheme="minorHAnsi"/>
                <w:lang w:eastAsia="en-GB"/>
              </w:rPr>
              <w:t>the patient,</w:t>
            </w:r>
            <w:r>
              <w:rPr>
                <w:rFonts w:eastAsia="Times New Roman" w:cstheme="minorHAnsi"/>
                <w:lang w:eastAsia="en-GB"/>
              </w:rPr>
              <w:t xml:space="preserve"> treatment is deemed not necessary</w:t>
            </w:r>
            <w:r w:rsidR="005F116B">
              <w:rPr>
                <w:rFonts w:eastAsia="Times New Roman" w:cstheme="minorHAnsi"/>
                <w:lang w:eastAsia="en-GB"/>
              </w:rPr>
              <w:t xml:space="preserve"> and the case is closed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D14E65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1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Advice and a </w:t>
            </w:r>
            <w:r>
              <w:rPr>
                <w:rFonts w:eastAsia="Times New Roman" w:cstheme="minorHAnsi"/>
                <w:lang w:eastAsia="en-GB"/>
              </w:rPr>
              <w:t>p</w:t>
            </w:r>
            <w:r w:rsidRPr="00020166">
              <w:rPr>
                <w:rFonts w:eastAsia="Times New Roman" w:cstheme="minorHAnsi"/>
                <w:lang w:eastAsia="en-GB"/>
              </w:rPr>
              <w:t xml:space="preserve">rescription -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 xml:space="preserve">ntibiotics and or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 xml:space="preserve">nalgesics </w:t>
            </w:r>
          </w:p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Closing the Case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583A1A" w:rsidP="00857C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Providing advice to the patient, </w:t>
            </w:r>
            <w:r w:rsidR="00857C5B">
              <w:rPr>
                <w:rFonts w:eastAsia="Times New Roman" w:cstheme="minorHAnsi"/>
                <w:lang w:eastAsia="en-GB"/>
              </w:rPr>
              <w:t xml:space="preserve">where face to face </w:t>
            </w:r>
            <w:r>
              <w:rPr>
                <w:rFonts w:eastAsia="Times New Roman" w:cstheme="minorHAnsi"/>
                <w:lang w:eastAsia="en-GB"/>
              </w:rPr>
              <w:t>treatment is deemed not necessary but a prescription for a</w:t>
            </w:r>
            <w:r w:rsidRPr="00020166">
              <w:rPr>
                <w:rFonts w:eastAsia="Times New Roman" w:cstheme="minorHAnsi"/>
                <w:lang w:eastAsia="en-GB"/>
              </w:rPr>
              <w:t xml:space="preserve">ntibiotics and or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>nalgesics</w:t>
            </w:r>
            <w:r>
              <w:rPr>
                <w:rFonts w:eastAsia="Times New Roman" w:cstheme="minorHAnsi"/>
                <w:lang w:eastAsia="en-GB"/>
              </w:rPr>
              <w:t xml:space="preserve"> is provided</w:t>
            </w:r>
            <w:r w:rsidR="005F116B">
              <w:rPr>
                <w:rFonts w:eastAsia="Times New Roman" w:cstheme="minorHAnsi"/>
                <w:lang w:eastAsia="en-GB"/>
              </w:rPr>
              <w:t xml:space="preserve"> and the case is closed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D14E65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4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d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Appointment for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020166">
              <w:rPr>
                <w:rFonts w:eastAsia="Times New Roman" w:cstheme="minorHAnsi"/>
                <w:lang w:eastAsia="en-GB"/>
              </w:rPr>
              <w:t xml:space="preserve">reatment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>rranged (</w:t>
            </w:r>
            <w:r>
              <w:rPr>
                <w:rFonts w:eastAsia="Times New Roman" w:cstheme="minorHAnsi"/>
                <w:lang w:eastAsia="en-GB"/>
              </w:rPr>
              <w:t>f</w:t>
            </w:r>
            <w:r w:rsidRPr="00020166">
              <w:rPr>
                <w:rFonts w:eastAsia="Times New Roman" w:cstheme="minorHAnsi"/>
                <w:lang w:eastAsia="en-GB"/>
              </w:rPr>
              <w:t xml:space="preserve">urther Covid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020166">
              <w:rPr>
                <w:rFonts w:eastAsia="Times New Roman" w:cstheme="minorHAnsi"/>
                <w:lang w:eastAsia="en-GB"/>
              </w:rPr>
              <w:t xml:space="preserve">riaging to </w:t>
            </w:r>
            <w:r>
              <w:rPr>
                <w:rFonts w:eastAsia="Times New Roman" w:cstheme="minorHAnsi"/>
                <w:lang w:eastAsia="en-GB"/>
              </w:rPr>
              <w:t>d</w:t>
            </w:r>
            <w:r w:rsidRPr="00020166">
              <w:rPr>
                <w:rFonts w:eastAsia="Times New Roman" w:cstheme="minorHAnsi"/>
                <w:lang w:eastAsia="en-GB"/>
              </w:rPr>
              <w:t xml:space="preserve">etermine </w:t>
            </w:r>
            <w:r>
              <w:rPr>
                <w:rFonts w:eastAsia="Times New Roman" w:cstheme="minorHAnsi"/>
                <w:lang w:eastAsia="en-GB"/>
              </w:rPr>
              <w:t>s</w:t>
            </w:r>
            <w:r w:rsidRPr="00020166">
              <w:rPr>
                <w:rFonts w:eastAsia="Times New Roman" w:cstheme="minorHAnsi"/>
                <w:lang w:eastAsia="en-GB"/>
              </w:rPr>
              <w:t xml:space="preserve">tatus) Red Covid Positive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0D" w:rsidRDefault="00B54647" w:rsidP="005F116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Appointment arranged w</w:t>
            </w:r>
            <w:r w:rsidR="003019F4">
              <w:rPr>
                <w:rFonts w:eastAsia="Times New Roman" w:cstheme="minorHAnsi"/>
                <w:lang w:eastAsia="en-GB"/>
              </w:rPr>
              <w:t xml:space="preserve">ith </w:t>
            </w:r>
            <w:r>
              <w:rPr>
                <w:rFonts w:eastAsia="Times New Roman" w:cstheme="minorHAnsi"/>
                <w:lang w:eastAsia="en-GB"/>
              </w:rPr>
              <w:t xml:space="preserve">an Urgent Dental Care Centre for a patient who has </w:t>
            </w:r>
            <w:r w:rsidR="003019F4">
              <w:rPr>
                <w:rFonts w:eastAsia="Times New Roman" w:cstheme="minorHAnsi"/>
                <w:lang w:eastAsia="en-GB"/>
              </w:rPr>
              <w:t>symptoms</w:t>
            </w:r>
            <w:r>
              <w:rPr>
                <w:rFonts w:eastAsia="Times New Roman" w:cstheme="minorHAnsi"/>
                <w:lang w:eastAsia="en-GB"/>
              </w:rPr>
              <w:t xml:space="preserve"> of Coronavirus</w:t>
            </w:r>
            <w:r w:rsidR="000005FD">
              <w:rPr>
                <w:rFonts w:eastAsia="Times New Roman" w:cstheme="minorHAnsi"/>
                <w:lang w:eastAsia="en-GB"/>
              </w:rPr>
              <w:t xml:space="preserve"> or </w:t>
            </w:r>
            <w:r w:rsidR="005F116B">
              <w:rPr>
                <w:rFonts w:eastAsia="Times New Roman" w:cstheme="minorHAnsi"/>
                <w:lang w:eastAsia="en-GB"/>
              </w:rPr>
              <w:t xml:space="preserve">is </w:t>
            </w:r>
            <w:r w:rsidR="000005FD">
              <w:rPr>
                <w:rFonts w:eastAsia="Times New Roman" w:cstheme="minorHAnsi"/>
                <w:lang w:eastAsia="en-GB"/>
              </w:rPr>
              <w:t>part of a household where someone has symptoms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0005FD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Urgent Dental Care Centres only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41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e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Appointment for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020166">
              <w:rPr>
                <w:rFonts w:eastAsia="Times New Roman" w:cstheme="minorHAnsi"/>
                <w:lang w:eastAsia="en-GB"/>
              </w:rPr>
              <w:t xml:space="preserve">reatment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>rranged (</w:t>
            </w:r>
            <w:r>
              <w:rPr>
                <w:rFonts w:eastAsia="Times New Roman" w:cstheme="minorHAnsi"/>
                <w:lang w:eastAsia="en-GB"/>
              </w:rPr>
              <w:t>f</w:t>
            </w:r>
            <w:r w:rsidRPr="00020166">
              <w:rPr>
                <w:rFonts w:eastAsia="Times New Roman" w:cstheme="minorHAnsi"/>
                <w:lang w:eastAsia="en-GB"/>
              </w:rPr>
              <w:t xml:space="preserve">urther Covid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020166">
              <w:rPr>
                <w:rFonts w:eastAsia="Times New Roman" w:cstheme="minorHAnsi"/>
                <w:lang w:eastAsia="en-GB"/>
              </w:rPr>
              <w:t xml:space="preserve">riaging to </w:t>
            </w:r>
            <w:r>
              <w:rPr>
                <w:rFonts w:eastAsia="Times New Roman" w:cstheme="minorHAnsi"/>
                <w:lang w:eastAsia="en-GB"/>
              </w:rPr>
              <w:t>d</w:t>
            </w:r>
            <w:r w:rsidRPr="00020166">
              <w:rPr>
                <w:rFonts w:eastAsia="Times New Roman" w:cstheme="minorHAnsi"/>
                <w:lang w:eastAsia="en-GB"/>
              </w:rPr>
              <w:t xml:space="preserve">etermine </w:t>
            </w:r>
            <w:r>
              <w:rPr>
                <w:rFonts w:eastAsia="Times New Roman" w:cstheme="minorHAnsi"/>
                <w:lang w:eastAsia="en-GB"/>
              </w:rPr>
              <w:t>s</w:t>
            </w:r>
            <w:r w:rsidRPr="00020166">
              <w:rPr>
                <w:rFonts w:eastAsia="Times New Roman" w:cstheme="minorHAnsi"/>
                <w:lang w:eastAsia="en-GB"/>
              </w:rPr>
              <w:t xml:space="preserve">tatus) Green Covid Positive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B54647" w:rsidP="00745B0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Appointment arranged for a patient who has </w:t>
            </w:r>
            <w:r w:rsidR="000005FD">
              <w:rPr>
                <w:rFonts w:eastAsia="Times New Roman" w:cstheme="minorHAnsi"/>
                <w:lang w:eastAsia="en-GB"/>
              </w:rPr>
              <w:t xml:space="preserve">no </w:t>
            </w:r>
            <w:r>
              <w:rPr>
                <w:rFonts w:eastAsia="Times New Roman" w:cstheme="minorHAnsi"/>
                <w:lang w:eastAsia="en-GB"/>
              </w:rPr>
              <w:t>symptoms of Coronavirus</w:t>
            </w:r>
            <w:r w:rsidR="005F116B">
              <w:rPr>
                <w:rFonts w:eastAsia="Times New Roman" w:cstheme="minorHAnsi"/>
                <w:lang w:eastAsia="en-GB"/>
              </w:rPr>
              <w:t>, is not quarantined</w:t>
            </w:r>
            <w:r w:rsidR="000005FD">
              <w:rPr>
                <w:rFonts w:eastAsia="Times New Roman" w:cstheme="minorHAnsi"/>
                <w:lang w:eastAsia="en-GB"/>
              </w:rPr>
              <w:t xml:space="preserve"> </w:t>
            </w:r>
            <w:r w:rsidR="00745B04">
              <w:rPr>
                <w:rFonts w:eastAsia="Times New Roman" w:cstheme="minorHAnsi"/>
                <w:lang w:eastAsia="en-GB"/>
              </w:rPr>
              <w:t>and</w:t>
            </w:r>
            <w:r w:rsidR="000005FD">
              <w:rPr>
                <w:rFonts w:eastAsia="Times New Roman" w:cstheme="minorHAnsi"/>
                <w:lang w:eastAsia="en-GB"/>
              </w:rPr>
              <w:t xml:space="preserve"> </w:t>
            </w:r>
            <w:r w:rsidR="005F116B">
              <w:rPr>
                <w:rFonts w:eastAsia="Times New Roman" w:cstheme="minorHAnsi"/>
                <w:lang w:eastAsia="en-GB"/>
              </w:rPr>
              <w:t>is in</w:t>
            </w:r>
            <w:r w:rsidR="000005FD">
              <w:rPr>
                <w:rFonts w:eastAsia="Times New Roman" w:cstheme="minorHAnsi"/>
                <w:lang w:eastAsia="en-GB"/>
              </w:rPr>
              <w:t xml:space="preserve"> a household where no-one has symptoms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D14E65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2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f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Appointment </w:t>
            </w:r>
            <w:r>
              <w:rPr>
                <w:rFonts w:eastAsia="Times New Roman" w:cstheme="minorHAnsi"/>
                <w:lang w:eastAsia="en-GB"/>
              </w:rPr>
              <w:t>v</w:t>
            </w:r>
            <w:r w:rsidRPr="00020166">
              <w:rPr>
                <w:rFonts w:eastAsia="Times New Roman" w:cstheme="minorHAnsi"/>
                <w:lang w:eastAsia="en-GB"/>
              </w:rPr>
              <w:t>isit (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020166">
              <w:rPr>
                <w:rFonts w:eastAsia="Times New Roman" w:cstheme="minorHAnsi"/>
                <w:lang w:eastAsia="en-GB"/>
              </w:rPr>
              <w:t xml:space="preserve">reatment)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 xml:space="preserve">erosol </w:t>
            </w:r>
            <w:r>
              <w:rPr>
                <w:rFonts w:eastAsia="Times New Roman" w:cstheme="minorHAnsi"/>
                <w:lang w:eastAsia="en-GB"/>
              </w:rPr>
              <w:t>g</w:t>
            </w:r>
            <w:r w:rsidRPr="00020166">
              <w:rPr>
                <w:rFonts w:eastAsia="Times New Roman" w:cstheme="minorHAnsi"/>
                <w:lang w:eastAsia="en-GB"/>
              </w:rPr>
              <w:t xml:space="preserve">enerating </w:t>
            </w:r>
            <w:r>
              <w:rPr>
                <w:rFonts w:eastAsia="Times New Roman" w:cstheme="minorHAnsi"/>
                <w:lang w:eastAsia="en-GB"/>
              </w:rPr>
              <w:t>procedure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D14E65" w:rsidP="00ED58B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Appointment visit </w:t>
            </w:r>
            <w:r w:rsidR="00ED58B1">
              <w:rPr>
                <w:rFonts w:eastAsia="Times New Roman" w:cstheme="minorHAnsi"/>
                <w:lang w:eastAsia="en-GB"/>
              </w:rPr>
              <w:t xml:space="preserve">is required </w:t>
            </w:r>
            <w:r>
              <w:rPr>
                <w:rFonts w:eastAsia="Times New Roman" w:cstheme="minorHAnsi"/>
                <w:lang w:eastAsia="en-GB"/>
              </w:rPr>
              <w:t xml:space="preserve">at an Urgent Dental Care Centre </w:t>
            </w:r>
            <w:r w:rsidR="00ED58B1">
              <w:rPr>
                <w:rFonts w:eastAsia="Times New Roman" w:cstheme="minorHAnsi"/>
                <w:lang w:eastAsia="en-GB"/>
              </w:rPr>
              <w:t>due to the need for an</w:t>
            </w:r>
            <w:r>
              <w:rPr>
                <w:rFonts w:eastAsia="Times New Roman" w:cstheme="minorHAnsi"/>
                <w:lang w:eastAsia="en-GB"/>
              </w:rPr>
              <w:t xml:space="preserve"> aerosol generated procedure, but </w:t>
            </w:r>
            <w:r w:rsidR="00637304">
              <w:rPr>
                <w:rFonts w:eastAsia="Times New Roman" w:cstheme="minorHAnsi"/>
                <w:lang w:eastAsia="en-GB"/>
              </w:rPr>
              <w:t xml:space="preserve">patient </w:t>
            </w:r>
            <w:r>
              <w:rPr>
                <w:rFonts w:eastAsia="Times New Roman" w:cstheme="minorHAnsi"/>
                <w:lang w:eastAsia="en-GB"/>
              </w:rPr>
              <w:t xml:space="preserve">has </w:t>
            </w:r>
            <w:r w:rsidR="00637304">
              <w:rPr>
                <w:rFonts w:eastAsia="Times New Roman" w:cstheme="minorHAnsi"/>
                <w:lang w:eastAsia="en-GB"/>
              </w:rPr>
              <w:t xml:space="preserve">decided not to </w:t>
            </w:r>
            <w:r w:rsidR="00ED58B1">
              <w:rPr>
                <w:rFonts w:eastAsia="Times New Roman" w:cstheme="minorHAnsi"/>
                <w:lang w:eastAsia="en-GB"/>
              </w:rPr>
              <w:t>accept the appointment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ED58B1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g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Non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020166">
              <w:rPr>
                <w:rFonts w:eastAsia="Times New Roman" w:cstheme="minorHAnsi"/>
                <w:lang w:eastAsia="en-GB"/>
              </w:rPr>
              <w:t xml:space="preserve">erosol </w:t>
            </w:r>
            <w:r>
              <w:rPr>
                <w:rFonts w:eastAsia="Times New Roman" w:cstheme="minorHAnsi"/>
                <w:lang w:eastAsia="en-GB"/>
              </w:rPr>
              <w:t>p</w:t>
            </w:r>
            <w:r w:rsidRPr="00020166">
              <w:rPr>
                <w:rFonts w:eastAsia="Times New Roman" w:cstheme="minorHAnsi"/>
                <w:lang w:eastAsia="en-GB"/>
              </w:rPr>
              <w:t xml:space="preserve">rocedure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E95968" w:rsidP="00E9596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Providing a non-aerosol generated procedure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D14E65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2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Unable to </w:t>
            </w:r>
            <w:r>
              <w:rPr>
                <w:rFonts w:eastAsia="Times New Roman" w:cstheme="minorHAnsi"/>
                <w:lang w:eastAsia="en-GB"/>
              </w:rPr>
              <w:t>d</w:t>
            </w:r>
            <w:r w:rsidRPr="00020166">
              <w:rPr>
                <w:rFonts w:eastAsia="Times New Roman" w:cstheme="minorHAnsi"/>
                <w:lang w:eastAsia="en-GB"/>
              </w:rPr>
              <w:t xml:space="preserve">eliver 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020166">
              <w:rPr>
                <w:rFonts w:eastAsia="Times New Roman" w:cstheme="minorHAnsi"/>
                <w:lang w:eastAsia="en-GB"/>
              </w:rPr>
              <w:t xml:space="preserve">ase - Phobia/Co-operation/Consent </w:t>
            </w:r>
            <w:r>
              <w:rPr>
                <w:rFonts w:eastAsia="Times New Roman" w:cstheme="minorHAnsi"/>
                <w:lang w:eastAsia="en-GB"/>
              </w:rPr>
              <w:t>i</w:t>
            </w:r>
            <w:r w:rsidRPr="00020166">
              <w:rPr>
                <w:rFonts w:eastAsia="Times New Roman" w:cstheme="minorHAnsi"/>
                <w:lang w:eastAsia="en-GB"/>
              </w:rPr>
              <w:t xml:space="preserve">ssue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FD479C" w:rsidP="00ED58B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Patient </w:t>
            </w:r>
            <w:r w:rsidR="00ED58B1">
              <w:rPr>
                <w:rFonts w:eastAsia="Times New Roman" w:cstheme="minorHAnsi"/>
                <w:lang w:eastAsia="en-GB"/>
              </w:rPr>
              <w:t xml:space="preserve">has </w:t>
            </w:r>
            <w:r>
              <w:rPr>
                <w:rFonts w:eastAsia="Times New Roman" w:cstheme="minorHAnsi"/>
                <w:lang w:eastAsia="en-GB"/>
              </w:rPr>
              <w:t>attended for treatment</w:t>
            </w:r>
            <w:r w:rsidR="00ED58B1">
              <w:rPr>
                <w:rFonts w:eastAsia="Times New Roman" w:cstheme="minorHAnsi"/>
                <w:lang w:eastAsia="en-GB"/>
              </w:rPr>
              <w:t xml:space="preserve"> and staff have donned PPE to carry out treatment</w:t>
            </w:r>
            <w:r>
              <w:rPr>
                <w:rFonts w:eastAsia="Times New Roman" w:cstheme="minorHAnsi"/>
                <w:lang w:eastAsia="en-GB"/>
              </w:rPr>
              <w:t>, but d</w:t>
            </w:r>
            <w:r w:rsidR="00D14E65">
              <w:rPr>
                <w:rFonts w:eastAsia="Times New Roman" w:cstheme="minorHAnsi"/>
                <w:lang w:eastAsia="en-GB"/>
              </w:rPr>
              <w:t>ue to issues with the patient’s phobia/</w:t>
            </w:r>
            <w:r w:rsidR="00ED58B1">
              <w:rPr>
                <w:rFonts w:eastAsia="Times New Roman" w:cstheme="minorHAnsi"/>
                <w:lang w:eastAsia="en-GB"/>
              </w:rPr>
              <w:t xml:space="preserve"> </w:t>
            </w:r>
            <w:r w:rsidR="00D14E65">
              <w:rPr>
                <w:rFonts w:eastAsia="Times New Roman" w:cstheme="minorHAnsi"/>
                <w:lang w:eastAsia="en-GB"/>
              </w:rPr>
              <w:t>cooperation/consent no treatment was provided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637304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Both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  <w:tr w:rsidR="00D732F6" w:rsidRPr="00020166" w:rsidTr="00583A1A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</w:t>
            </w:r>
            <w:r w:rsidRPr="00020166">
              <w:rPr>
                <w:rFonts w:eastAsia="Times New Roman" w:cstheme="minorHAnsi"/>
                <w:lang w:eastAsia="en-GB"/>
              </w:rPr>
              <w:t>0[</w:t>
            </w:r>
            <w:r>
              <w:rPr>
                <w:rFonts w:eastAsia="Times New Roman" w:cstheme="minorHAnsi"/>
                <w:lang w:eastAsia="en-GB"/>
              </w:rPr>
              <w:t>i</w:t>
            </w:r>
            <w:r w:rsidRPr="00020166">
              <w:rPr>
                <w:rFonts w:eastAsia="Times New Roman" w:cstheme="minorHAnsi"/>
                <w:lang w:eastAsia="en-GB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2F6" w:rsidRPr="00020166" w:rsidRDefault="00D732F6" w:rsidP="0031272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 xml:space="preserve">Aerosol </w:t>
            </w:r>
            <w:r>
              <w:rPr>
                <w:rFonts w:eastAsia="Times New Roman" w:cstheme="minorHAnsi"/>
                <w:lang w:eastAsia="en-GB"/>
              </w:rPr>
              <w:t>g</w:t>
            </w:r>
            <w:r w:rsidRPr="00020166">
              <w:rPr>
                <w:rFonts w:eastAsia="Times New Roman" w:cstheme="minorHAnsi"/>
                <w:lang w:eastAsia="en-GB"/>
              </w:rPr>
              <w:t xml:space="preserve">enerated </w:t>
            </w:r>
            <w:r>
              <w:rPr>
                <w:rFonts w:eastAsia="Times New Roman" w:cstheme="minorHAnsi"/>
                <w:lang w:eastAsia="en-GB"/>
              </w:rPr>
              <w:t>p</w:t>
            </w:r>
            <w:r w:rsidRPr="00020166">
              <w:rPr>
                <w:rFonts w:eastAsia="Times New Roman" w:cstheme="minorHAnsi"/>
                <w:lang w:eastAsia="en-GB"/>
              </w:rPr>
              <w:t xml:space="preserve">rocedure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F6" w:rsidRDefault="000005FD" w:rsidP="00FD479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Have treated</w:t>
            </w:r>
            <w:r w:rsidR="00D14E65">
              <w:rPr>
                <w:rFonts w:eastAsia="Times New Roman" w:cstheme="minorHAnsi"/>
                <w:lang w:eastAsia="en-GB"/>
              </w:rPr>
              <w:t xml:space="preserve"> patient </w:t>
            </w:r>
            <w:r w:rsidR="00FD479C">
              <w:rPr>
                <w:rFonts w:eastAsia="Times New Roman" w:cstheme="minorHAnsi"/>
                <w:lang w:eastAsia="en-GB"/>
              </w:rPr>
              <w:t>using</w:t>
            </w:r>
            <w:r w:rsidR="00D14E65">
              <w:rPr>
                <w:rFonts w:eastAsia="Times New Roman" w:cstheme="minorHAnsi"/>
                <w:lang w:eastAsia="en-GB"/>
              </w:rPr>
              <w:t xml:space="preserve"> an aerosol generated procedure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6" w:rsidRDefault="00583A1A" w:rsidP="00583A1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Urgent Dental Care Centres only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2F6" w:rsidRPr="00020166" w:rsidRDefault="00D732F6" w:rsidP="00715099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020166">
              <w:rPr>
                <w:rFonts w:eastAsia="Times New Roman" w:cstheme="minorHAnsi"/>
                <w:lang w:eastAsia="en-GB"/>
              </w:rPr>
              <w:t>01</w:t>
            </w:r>
          </w:p>
        </w:tc>
      </w:tr>
    </w:tbl>
    <w:p w:rsidR="00E4523D" w:rsidRDefault="00E4523D" w:rsidP="00E4523D">
      <w:pPr>
        <w:tabs>
          <w:tab w:val="left" w:pos="2940"/>
        </w:tabs>
        <w:jc w:val="both"/>
      </w:pPr>
    </w:p>
    <w:p w:rsidR="00CB0F60" w:rsidRPr="004D37F6" w:rsidRDefault="00CB0F60" w:rsidP="004D37F6">
      <w:pPr>
        <w:jc w:val="both"/>
        <w:rPr>
          <w:b/>
          <w:u w:val="single"/>
        </w:rPr>
      </w:pPr>
      <w:r w:rsidRPr="004D37F6">
        <w:rPr>
          <w:b/>
          <w:u w:val="single"/>
        </w:rPr>
        <w:t>What treatment</w:t>
      </w:r>
      <w:r w:rsidR="006D1EE6">
        <w:rPr>
          <w:b/>
          <w:u w:val="single"/>
        </w:rPr>
        <w:t>s</w:t>
      </w:r>
      <w:r w:rsidRPr="004D37F6">
        <w:rPr>
          <w:b/>
          <w:u w:val="single"/>
        </w:rPr>
        <w:t xml:space="preserve"> can be carried out?</w:t>
      </w:r>
    </w:p>
    <w:p w:rsidR="00496C33" w:rsidRDefault="004153D8" w:rsidP="004D37F6">
      <w:pPr>
        <w:jc w:val="both"/>
      </w:pPr>
      <w:r>
        <w:t xml:space="preserve">The new </w:t>
      </w:r>
      <w:r w:rsidR="00496C33">
        <w:t xml:space="preserve">SDR144 </w:t>
      </w:r>
      <w:r w:rsidR="00186BAE">
        <w:t>details the limited treatments that can be carried out</w:t>
      </w:r>
      <w:r w:rsidR="006D1EE6">
        <w:t>.</w:t>
      </w:r>
      <w:r w:rsidR="00186BAE">
        <w:t xml:space="preserve"> </w:t>
      </w:r>
      <w:r w:rsidR="00496C33">
        <w:t xml:space="preserve">This </w:t>
      </w:r>
      <w:r w:rsidR="006D1EE6">
        <w:t xml:space="preserve">SDR must be followed </w:t>
      </w:r>
      <w:r w:rsidR="00496C33">
        <w:t xml:space="preserve">regardless of the setting in which you provide </w:t>
      </w:r>
      <w:r w:rsidR="00857C5B">
        <w:t xml:space="preserve">NHS </w:t>
      </w:r>
      <w:r w:rsidR="00496C33">
        <w:t xml:space="preserve">dental treatment, ie General Dental Services (GDS) or Public Dental Service (PDS). </w:t>
      </w:r>
      <w:r w:rsidR="00C85148">
        <w:t>The items of treatment and codes in SDR144 retain the same numbers as previous SDR’s, as you will be familiar with these.</w:t>
      </w:r>
    </w:p>
    <w:p w:rsidR="003C1A82" w:rsidRDefault="003C1A82" w:rsidP="004D37F6">
      <w:pPr>
        <w:jc w:val="both"/>
      </w:pPr>
      <w:r>
        <w:t>If you attempt to submit any item that is no longer allowable under the new SDR144, your claim will be rejected.</w:t>
      </w:r>
    </w:p>
    <w:p w:rsidR="00C7551A" w:rsidRPr="004D37F6" w:rsidRDefault="00C7551A" w:rsidP="00C7551A">
      <w:pPr>
        <w:jc w:val="both"/>
        <w:rPr>
          <w:b/>
          <w:u w:val="single"/>
        </w:rPr>
      </w:pPr>
      <w:r w:rsidRPr="004D37F6">
        <w:rPr>
          <w:b/>
          <w:u w:val="single"/>
        </w:rPr>
        <w:t>What treatment</w:t>
      </w:r>
      <w:r>
        <w:rPr>
          <w:b/>
          <w:u w:val="single"/>
        </w:rPr>
        <w:t>s</w:t>
      </w:r>
      <w:r w:rsidRPr="004D37F6">
        <w:rPr>
          <w:b/>
          <w:u w:val="single"/>
        </w:rPr>
        <w:t xml:space="preserve"> can be carried out</w:t>
      </w:r>
      <w:r>
        <w:rPr>
          <w:b/>
          <w:u w:val="single"/>
        </w:rPr>
        <w:t xml:space="preserve"> </w:t>
      </w:r>
      <w:r w:rsidR="00444D29">
        <w:rPr>
          <w:b/>
          <w:u w:val="single"/>
        </w:rPr>
        <w:t>in an</w:t>
      </w:r>
      <w:r>
        <w:rPr>
          <w:b/>
          <w:u w:val="single"/>
        </w:rPr>
        <w:t xml:space="preserve"> </w:t>
      </w:r>
      <w:r w:rsidR="00857C5B">
        <w:rPr>
          <w:b/>
          <w:u w:val="single"/>
        </w:rPr>
        <w:t>NHS General Dental Practi</w:t>
      </w:r>
      <w:r w:rsidR="00444D29">
        <w:rPr>
          <w:b/>
          <w:u w:val="single"/>
        </w:rPr>
        <w:t>ce setting</w:t>
      </w:r>
      <w:r w:rsidRPr="004D37F6">
        <w:rPr>
          <w:b/>
          <w:u w:val="single"/>
        </w:rPr>
        <w:t>?</w:t>
      </w:r>
    </w:p>
    <w:p w:rsidR="00097F3A" w:rsidRDefault="00807ADA" w:rsidP="004D37F6">
      <w:pPr>
        <w:jc w:val="both"/>
      </w:pPr>
      <w:r>
        <w:t>Only the t</w:t>
      </w:r>
      <w:r w:rsidR="00097F3A">
        <w:t>reatment</w:t>
      </w:r>
      <w:r w:rsidR="00C7551A">
        <w:t>s</w:t>
      </w:r>
      <w:r w:rsidR="00097F3A">
        <w:t xml:space="preserve"> listed within the following sections of SDR144 </w:t>
      </w:r>
      <w:r w:rsidR="00186BAE">
        <w:t>may</w:t>
      </w:r>
      <w:r w:rsidR="00097F3A">
        <w:t xml:space="preserve"> be carried out by dentists treating patients registered to </w:t>
      </w:r>
      <w:r>
        <w:t>a dentist in their practice</w:t>
      </w:r>
      <w:r w:rsidR="00C7551A">
        <w:t>:</w:t>
      </w:r>
    </w:p>
    <w:p w:rsidR="00D14E65" w:rsidRPr="00D14E65" w:rsidRDefault="00D14E65" w:rsidP="00D14E65">
      <w:pPr>
        <w:jc w:val="both"/>
        <w:rPr>
          <w:u w:val="single"/>
        </w:rPr>
      </w:pPr>
      <w:r>
        <w:rPr>
          <w:u w:val="single"/>
        </w:rPr>
        <w:t>Section II - Diagnosis</w:t>
      </w:r>
    </w:p>
    <w:p w:rsidR="00A95371" w:rsidRDefault="00A95371" w:rsidP="00A95371">
      <w:pPr>
        <w:pStyle w:val="ListParagraph"/>
        <w:numPr>
          <w:ilvl w:val="0"/>
          <w:numId w:val="12"/>
        </w:numPr>
        <w:ind w:left="426"/>
        <w:jc w:val="both"/>
      </w:pPr>
      <w:r>
        <w:t>Examination: 1(A)</w:t>
      </w:r>
      <w:r w:rsidR="007B69A5">
        <w:t xml:space="preserve"> </w:t>
      </w:r>
    </w:p>
    <w:p w:rsidR="00A95371" w:rsidRDefault="00A95371" w:rsidP="00A95371">
      <w:pPr>
        <w:pStyle w:val="ListParagraph"/>
        <w:numPr>
          <w:ilvl w:val="0"/>
          <w:numId w:val="12"/>
        </w:numPr>
        <w:ind w:left="426"/>
        <w:jc w:val="both"/>
      </w:pPr>
      <w:r>
        <w:t>Radiographs: 2(A)(1), 2(A)(2), 2(A)(3), 2(A)(4)</w:t>
      </w:r>
    </w:p>
    <w:p w:rsidR="00D14E65" w:rsidRDefault="00A95371" w:rsidP="00A95371">
      <w:pPr>
        <w:pStyle w:val="ListParagraph"/>
        <w:numPr>
          <w:ilvl w:val="0"/>
          <w:numId w:val="12"/>
        </w:numPr>
        <w:ind w:left="426"/>
        <w:jc w:val="both"/>
      </w:pPr>
      <w:r>
        <w:t>P</w:t>
      </w:r>
      <w:r w:rsidR="007B69A5">
        <w:t>hotographs</w:t>
      </w:r>
      <w:r>
        <w:t>: 3(A)</w:t>
      </w:r>
    </w:p>
    <w:p w:rsidR="00D14E65" w:rsidRDefault="00D14E65" w:rsidP="00D14E65">
      <w:pPr>
        <w:pStyle w:val="ListParagraph"/>
        <w:jc w:val="both"/>
      </w:pPr>
    </w:p>
    <w:p w:rsidR="00D14E65" w:rsidRPr="00D14E65" w:rsidRDefault="00097F3A" w:rsidP="00D14E65">
      <w:pPr>
        <w:jc w:val="both"/>
        <w:rPr>
          <w:u w:val="single"/>
        </w:rPr>
      </w:pPr>
      <w:r w:rsidRPr="00D14E65">
        <w:rPr>
          <w:u w:val="single"/>
        </w:rPr>
        <w:t>Section V</w:t>
      </w:r>
      <w:r w:rsidR="00D14E65">
        <w:rPr>
          <w:u w:val="single"/>
        </w:rPr>
        <w:t xml:space="preserve"> – Conservative Treatment </w:t>
      </w:r>
    </w:p>
    <w:p w:rsidR="00D14E65" w:rsidRDefault="007B69A5" w:rsidP="00A95371">
      <w:pPr>
        <w:pStyle w:val="ListParagraph"/>
        <w:numPr>
          <w:ilvl w:val="0"/>
          <w:numId w:val="12"/>
        </w:numPr>
        <w:ind w:left="426"/>
        <w:jc w:val="both"/>
      </w:pPr>
      <w:r>
        <w:t>Fillings</w:t>
      </w:r>
      <w:r w:rsidR="003019F4">
        <w:t>:</w:t>
      </w:r>
      <w:r>
        <w:t xml:space="preserve"> 14(C)(2)</w:t>
      </w:r>
      <w:r w:rsidR="00A95371">
        <w:t>(1)</w:t>
      </w:r>
      <w:r>
        <w:t xml:space="preserve"> and 14(G)(1)</w:t>
      </w:r>
    </w:p>
    <w:p w:rsidR="00D14E65" w:rsidRDefault="003019F4" w:rsidP="00A95371">
      <w:pPr>
        <w:pStyle w:val="ListParagraph"/>
        <w:numPr>
          <w:ilvl w:val="0"/>
          <w:numId w:val="12"/>
        </w:numPr>
        <w:ind w:left="426"/>
        <w:jc w:val="both"/>
      </w:pPr>
      <w:r>
        <w:t>Temporary crowns: 17(G)(1) and 17(G)(2)</w:t>
      </w:r>
    </w:p>
    <w:p w:rsidR="00D14E65" w:rsidRDefault="003019F4" w:rsidP="00A95371">
      <w:pPr>
        <w:pStyle w:val="ListParagraph"/>
        <w:numPr>
          <w:ilvl w:val="0"/>
          <w:numId w:val="12"/>
        </w:numPr>
        <w:ind w:left="426"/>
        <w:jc w:val="both"/>
      </w:pPr>
      <w:r>
        <w:t>Recem</w:t>
      </w:r>
      <w:r w:rsidR="00D14E65">
        <w:t>en</w:t>
      </w:r>
      <w:r>
        <w:t>tin</w:t>
      </w:r>
      <w:r w:rsidR="00D14E65">
        <w:t>g or r</w:t>
      </w:r>
      <w:r>
        <w:t>efixing</w:t>
      </w:r>
      <w:r w:rsidR="007B69A5">
        <w:t xml:space="preserve"> </w:t>
      </w:r>
      <w:r>
        <w:t>a crown:</w:t>
      </w:r>
      <w:r w:rsidR="007B69A5">
        <w:t xml:space="preserve"> </w:t>
      </w:r>
      <w:r>
        <w:t>17(K)Crown</w:t>
      </w:r>
    </w:p>
    <w:p w:rsidR="00D14E65" w:rsidRDefault="00D14E65" w:rsidP="00A95371">
      <w:pPr>
        <w:pStyle w:val="ListParagraph"/>
        <w:numPr>
          <w:ilvl w:val="0"/>
          <w:numId w:val="12"/>
        </w:numPr>
        <w:ind w:left="426"/>
        <w:jc w:val="both"/>
      </w:pPr>
      <w:r>
        <w:t xml:space="preserve">Recementing or refixing </w:t>
      </w:r>
      <w:r w:rsidR="003019F4">
        <w:t>an inlay: 17(K)I</w:t>
      </w:r>
      <w:r>
        <w:t>nlay</w:t>
      </w:r>
    </w:p>
    <w:p w:rsidR="00D14E65" w:rsidRDefault="00D14E65" w:rsidP="00A95371">
      <w:pPr>
        <w:pStyle w:val="ListParagraph"/>
        <w:numPr>
          <w:ilvl w:val="0"/>
          <w:numId w:val="12"/>
        </w:numPr>
        <w:ind w:left="426"/>
        <w:jc w:val="both"/>
      </w:pPr>
      <w:r>
        <w:t xml:space="preserve">Recementing or refixing </w:t>
      </w:r>
      <w:r w:rsidR="003019F4">
        <w:t xml:space="preserve">a bridge: </w:t>
      </w:r>
      <w:r>
        <w:t>18(G)(1) and 18(G)(2)</w:t>
      </w:r>
      <w:r w:rsidR="003019F4">
        <w:t xml:space="preserve"> </w:t>
      </w:r>
      <w:r>
        <w:t xml:space="preserve"> </w:t>
      </w:r>
    </w:p>
    <w:p w:rsidR="007B69A5" w:rsidRDefault="00D14E65" w:rsidP="00D14E65">
      <w:pPr>
        <w:pStyle w:val="ListParagraph"/>
        <w:jc w:val="both"/>
      </w:pPr>
      <w:r>
        <w:t xml:space="preserve">  </w:t>
      </w:r>
    </w:p>
    <w:p w:rsidR="00097F3A" w:rsidRDefault="00097F3A" w:rsidP="00D14E65">
      <w:pPr>
        <w:jc w:val="both"/>
        <w:rPr>
          <w:u w:val="single"/>
        </w:rPr>
      </w:pPr>
      <w:r w:rsidRPr="00D14E65">
        <w:rPr>
          <w:u w:val="single"/>
        </w:rPr>
        <w:t>Section VI – Surgical Treatment</w:t>
      </w:r>
    </w:p>
    <w:p w:rsidR="00D14E65" w:rsidRDefault="00D14E65" w:rsidP="00A95371">
      <w:pPr>
        <w:pStyle w:val="ListParagraph"/>
        <w:numPr>
          <w:ilvl w:val="0"/>
          <w:numId w:val="13"/>
        </w:numPr>
        <w:ind w:left="426"/>
        <w:jc w:val="both"/>
      </w:pPr>
      <w:r>
        <w:t>Extractions</w:t>
      </w:r>
      <w:r w:rsidR="002204A1">
        <w:t>: 21(1), 21(2)</w:t>
      </w:r>
    </w:p>
    <w:p w:rsidR="002204A1" w:rsidRDefault="002204A1" w:rsidP="00A95371">
      <w:pPr>
        <w:pStyle w:val="ListParagraph"/>
        <w:numPr>
          <w:ilvl w:val="0"/>
          <w:numId w:val="13"/>
        </w:numPr>
        <w:ind w:left="426"/>
        <w:jc w:val="both"/>
      </w:pPr>
      <w:r>
        <w:t>Arrest of haemorrhage: 23(A)(1), 23(A)(2), 23(B)</w:t>
      </w:r>
    </w:p>
    <w:p w:rsidR="002204A1" w:rsidRPr="00D14E65" w:rsidRDefault="002204A1" w:rsidP="002204A1">
      <w:pPr>
        <w:pStyle w:val="ListParagraph"/>
        <w:jc w:val="both"/>
      </w:pPr>
      <w:r>
        <w:lastRenderedPageBreak/>
        <w:t xml:space="preserve"> </w:t>
      </w:r>
    </w:p>
    <w:p w:rsidR="00097F3A" w:rsidRDefault="00097F3A" w:rsidP="002204A1">
      <w:pPr>
        <w:jc w:val="both"/>
        <w:rPr>
          <w:u w:val="single"/>
        </w:rPr>
      </w:pPr>
      <w:r w:rsidRPr="002204A1">
        <w:rPr>
          <w:u w:val="single"/>
        </w:rPr>
        <w:t>Section VII – Prostheses, Obturators and Other (Non-Orthodontic) Appliances</w:t>
      </w:r>
    </w:p>
    <w:p w:rsidR="002204A1" w:rsidRDefault="002204A1" w:rsidP="00715099">
      <w:pPr>
        <w:pStyle w:val="ListParagraph"/>
        <w:numPr>
          <w:ilvl w:val="0"/>
          <w:numId w:val="14"/>
        </w:numPr>
        <w:ind w:left="426"/>
        <w:jc w:val="both"/>
      </w:pPr>
      <w:r w:rsidRPr="002204A1">
        <w:t xml:space="preserve">Repairs </w:t>
      </w:r>
      <w:r>
        <w:t xml:space="preserve">and alterations </w:t>
      </w:r>
      <w:r w:rsidRPr="002204A1">
        <w:t>to dentures</w:t>
      </w:r>
      <w:r>
        <w:t>: 28(A)(1), 28(A)(4)</w:t>
      </w:r>
      <w:r w:rsidR="00A95371">
        <w:t>Additional</w:t>
      </w:r>
      <w:r>
        <w:t>,</w:t>
      </w:r>
      <w:r w:rsidRPr="002204A1">
        <w:t xml:space="preserve"> </w:t>
      </w:r>
      <w:r>
        <w:t>28(B)(1), 28(C)(3)</w:t>
      </w:r>
    </w:p>
    <w:p w:rsidR="002204A1" w:rsidRDefault="002204A1" w:rsidP="00715099">
      <w:pPr>
        <w:pStyle w:val="ListParagraph"/>
        <w:numPr>
          <w:ilvl w:val="0"/>
          <w:numId w:val="14"/>
        </w:numPr>
        <w:ind w:left="426"/>
        <w:jc w:val="both"/>
      </w:pPr>
      <w:r>
        <w:t>Splints: 29(C)(1)</w:t>
      </w:r>
    </w:p>
    <w:p w:rsidR="002204A1" w:rsidRPr="002204A1" w:rsidRDefault="002204A1" w:rsidP="002204A1">
      <w:pPr>
        <w:pStyle w:val="ListParagraph"/>
        <w:jc w:val="both"/>
      </w:pPr>
    </w:p>
    <w:p w:rsidR="00097F3A" w:rsidRDefault="00097F3A" w:rsidP="002204A1">
      <w:pPr>
        <w:jc w:val="both"/>
        <w:rPr>
          <w:u w:val="single"/>
        </w:rPr>
      </w:pPr>
      <w:r w:rsidRPr="002204A1">
        <w:rPr>
          <w:u w:val="single"/>
        </w:rPr>
        <w:t>Section VIII – Orthodontic Treatment</w:t>
      </w:r>
    </w:p>
    <w:p w:rsidR="002204A1" w:rsidRDefault="002204A1" w:rsidP="00715099">
      <w:pPr>
        <w:pStyle w:val="ListParagraph"/>
        <w:numPr>
          <w:ilvl w:val="0"/>
          <w:numId w:val="15"/>
        </w:numPr>
        <w:ind w:left="426"/>
        <w:jc w:val="both"/>
      </w:pPr>
      <w:r>
        <w:t>Repairs to orthodontic appliances: 32(C)(1)</w:t>
      </w:r>
      <w:r w:rsidR="00A95371">
        <w:t xml:space="preserve">, </w:t>
      </w:r>
      <w:r>
        <w:t>32(C)(2),</w:t>
      </w:r>
      <w:r w:rsidRPr="002204A1">
        <w:t xml:space="preserve"> </w:t>
      </w:r>
      <w:r w:rsidR="00A95371">
        <w:t>32(C)(3), 32(C)(4), 32(C)</w:t>
      </w:r>
      <w:r>
        <w:t>Additional</w:t>
      </w:r>
    </w:p>
    <w:p w:rsidR="002204A1" w:rsidRPr="002204A1" w:rsidRDefault="002204A1" w:rsidP="002204A1">
      <w:pPr>
        <w:pStyle w:val="ListParagraph"/>
        <w:jc w:val="both"/>
      </w:pPr>
    </w:p>
    <w:p w:rsidR="00097F3A" w:rsidRDefault="00097F3A" w:rsidP="002204A1">
      <w:pPr>
        <w:jc w:val="both"/>
        <w:rPr>
          <w:u w:val="single"/>
        </w:rPr>
      </w:pPr>
      <w:r w:rsidRPr="002204A1">
        <w:rPr>
          <w:u w:val="single"/>
        </w:rPr>
        <w:t>Section IX – Other Forms of Treatment</w:t>
      </w:r>
    </w:p>
    <w:p w:rsidR="002204A1" w:rsidRPr="002204A1" w:rsidRDefault="00A95371" w:rsidP="00715099">
      <w:pPr>
        <w:pStyle w:val="ListParagraph"/>
        <w:numPr>
          <w:ilvl w:val="0"/>
          <w:numId w:val="15"/>
        </w:numPr>
        <w:ind w:left="426"/>
        <w:jc w:val="both"/>
        <w:rPr>
          <w:u w:val="single"/>
        </w:rPr>
      </w:pPr>
      <w:r>
        <w:t>Stoning/smoothing: 36(B</w:t>
      </w:r>
      <w:r w:rsidR="002204A1">
        <w:t>)</w:t>
      </w:r>
    </w:p>
    <w:p w:rsidR="002204A1" w:rsidRPr="002204A1" w:rsidRDefault="00A95371" w:rsidP="00715099">
      <w:pPr>
        <w:pStyle w:val="ListParagraph"/>
        <w:numPr>
          <w:ilvl w:val="0"/>
          <w:numId w:val="15"/>
        </w:numPr>
        <w:ind w:left="426"/>
        <w:jc w:val="both"/>
        <w:rPr>
          <w:u w:val="single"/>
        </w:rPr>
      </w:pPr>
      <w:r>
        <w:t>Sensitive cementum/dentine: 36(D</w:t>
      </w:r>
      <w:r w:rsidR="002204A1">
        <w:t>)</w:t>
      </w:r>
    </w:p>
    <w:p w:rsidR="002204A1" w:rsidRPr="002204A1" w:rsidRDefault="002204A1" w:rsidP="00715099">
      <w:pPr>
        <w:pStyle w:val="ListParagraph"/>
        <w:numPr>
          <w:ilvl w:val="0"/>
          <w:numId w:val="15"/>
        </w:numPr>
        <w:ind w:left="426"/>
        <w:jc w:val="both"/>
        <w:rPr>
          <w:u w:val="single"/>
        </w:rPr>
      </w:pPr>
      <w:r>
        <w:t>Issue of prescription: 36(E)</w:t>
      </w:r>
    </w:p>
    <w:p w:rsidR="002204A1" w:rsidRPr="002204A1" w:rsidRDefault="002204A1" w:rsidP="00715099">
      <w:pPr>
        <w:pStyle w:val="ListParagraph"/>
        <w:numPr>
          <w:ilvl w:val="0"/>
          <w:numId w:val="15"/>
        </w:numPr>
        <w:ind w:left="426"/>
        <w:jc w:val="both"/>
        <w:rPr>
          <w:u w:val="single"/>
        </w:rPr>
      </w:pPr>
      <w:r>
        <w:t>Re-implantation of luxated tooth: 36(F)</w:t>
      </w:r>
    </w:p>
    <w:p w:rsidR="002204A1" w:rsidRPr="000F3969" w:rsidRDefault="002204A1" w:rsidP="00715099">
      <w:pPr>
        <w:pStyle w:val="ListParagraph"/>
        <w:numPr>
          <w:ilvl w:val="0"/>
          <w:numId w:val="15"/>
        </w:numPr>
        <w:ind w:left="426"/>
        <w:jc w:val="both"/>
        <w:rPr>
          <w:u w:val="single"/>
        </w:rPr>
      </w:pPr>
      <w:r>
        <w:t>Removal of fractured portion of crown: 36(G)</w:t>
      </w:r>
    </w:p>
    <w:p w:rsidR="000F3969" w:rsidRPr="000F3969" w:rsidRDefault="000F3969" w:rsidP="00715099">
      <w:pPr>
        <w:pStyle w:val="ListParagraph"/>
        <w:numPr>
          <w:ilvl w:val="0"/>
          <w:numId w:val="15"/>
        </w:numPr>
        <w:ind w:left="426"/>
        <w:jc w:val="both"/>
        <w:rPr>
          <w:u w:val="single"/>
        </w:rPr>
      </w:pPr>
      <w:r>
        <w:t>Urgent treatment for acute conditions: 37</w:t>
      </w:r>
    </w:p>
    <w:p w:rsidR="000F3969" w:rsidRPr="002204A1" w:rsidRDefault="000F3969" w:rsidP="000F3969">
      <w:pPr>
        <w:pStyle w:val="ListParagraph"/>
        <w:jc w:val="both"/>
        <w:rPr>
          <w:u w:val="single"/>
        </w:rPr>
      </w:pPr>
    </w:p>
    <w:p w:rsidR="00097F3A" w:rsidRDefault="00097F3A" w:rsidP="000F3969">
      <w:pPr>
        <w:jc w:val="both"/>
        <w:rPr>
          <w:u w:val="single"/>
        </w:rPr>
      </w:pPr>
      <w:r w:rsidRPr="000F3969">
        <w:rPr>
          <w:u w:val="single"/>
        </w:rPr>
        <w:t>Section X – Treatment under Capitation</w:t>
      </w:r>
    </w:p>
    <w:p w:rsidR="000F3969" w:rsidRDefault="000F3969" w:rsidP="00715099">
      <w:pPr>
        <w:pStyle w:val="ListParagraph"/>
        <w:numPr>
          <w:ilvl w:val="0"/>
          <w:numId w:val="16"/>
        </w:numPr>
        <w:ind w:left="426"/>
        <w:jc w:val="both"/>
      </w:pPr>
      <w:r w:rsidRPr="000F3969">
        <w:t xml:space="preserve">Childsmile: </w:t>
      </w:r>
      <w:r>
        <w:t>41(A)(ii)(2), 41(a)(v)</w:t>
      </w:r>
    </w:p>
    <w:p w:rsidR="000F3969" w:rsidRDefault="000F3969" w:rsidP="00715099">
      <w:pPr>
        <w:pStyle w:val="ListParagraph"/>
        <w:numPr>
          <w:ilvl w:val="0"/>
          <w:numId w:val="16"/>
        </w:numPr>
        <w:ind w:left="426"/>
        <w:jc w:val="both"/>
      </w:pPr>
      <w:r>
        <w:t>Treatment special to minors: 44(A)</w:t>
      </w:r>
    </w:p>
    <w:p w:rsidR="000F3969" w:rsidRPr="000F3969" w:rsidRDefault="000F3969" w:rsidP="000F3969">
      <w:pPr>
        <w:pStyle w:val="ListParagraph"/>
        <w:jc w:val="both"/>
      </w:pPr>
    </w:p>
    <w:p w:rsidR="00097F3A" w:rsidRDefault="004153D8" w:rsidP="000F3969">
      <w:pPr>
        <w:jc w:val="both"/>
        <w:rPr>
          <w:u w:val="single"/>
        </w:rPr>
      </w:pPr>
      <w:r w:rsidRPr="000F3969">
        <w:rPr>
          <w:u w:val="single"/>
        </w:rPr>
        <w:t>Section XV – Triage Activity</w:t>
      </w:r>
    </w:p>
    <w:p w:rsidR="000F3969" w:rsidRPr="004E7FB7" w:rsidRDefault="004E7FB7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80(A), 80(B), 80(C), 80(D), 80(E), 80(F), 80(G), 80(H), 80(I)</w:t>
      </w:r>
    </w:p>
    <w:p w:rsidR="004E7FB7" w:rsidRPr="004E7FB7" w:rsidRDefault="004E7FB7" w:rsidP="004E7FB7">
      <w:pPr>
        <w:pStyle w:val="ListParagraph"/>
        <w:ind w:left="426"/>
        <w:jc w:val="both"/>
        <w:rPr>
          <w:u w:val="single"/>
        </w:rPr>
      </w:pPr>
    </w:p>
    <w:p w:rsidR="00807ADA" w:rsidRDefault="00807ADA" w:rsidP="00807ADA">
      <w:pPr>
        <w:jc w:val="both"/>
      </w:pPr>
      <w:r>
        <w:t xml:space="preserve">Only the treatment listed within the following section of SDR144 </w:t>
      </w:r>
      <w:r w:rsidR="00186BAE">
        <w:t>may</w:t>
      </w:r>
      <w:r>
        <w:t xml:space="preserve"> be carried out by dentists treating patients that are </w:t>
      </w:r>
      <w:r w:rsidRPr="00807ADA">
        <w:rPr>
          <w:b/>
        </w:rPr>
        <w:t>N</w:t>
      </w:r>
      <w:r>
        <w:rPr>
          <w:b/>
        </w:rPr>
        <w:t>OT</w:t>
      </w:r>
      <w:r>
        <w:t xml:space="preserve"> registered to</w:t>
      </w:r>
      <w:r w:rsidR="00C85148">
        <w:t xml:space="preserve"> them or</w:t>
      </w:r>
      <w:r>
        <w:t xml:space="preserve"> a dentist in their practice</w:t>
      </w:r>
      <w:r w:rsidR="00C7551A">
        <w:t>:</w:t>
      </w:r>
    </w:p>
    <w:p w:rsidR="00807ADA" w:rsidRDefault="00807ADA" w:rsidP="000F3969">
      <w:pPr>
        <w:jc w:val="both"/>
        <w:rPr>
          <w:u w:val="single"/>
        </w:rPr>
      </w:pPr>
      <w:r w:rsidRPr="000F3969">
        <w:rPr>
          <w:u w:val="single"/>
        </w:rPr>
        <w:t>Section XII</w:t>
      </w:r>
      <w:r w:rsidR="00971984" w:rsidRPr="000F3969">
        <w:rPr>
          <w:u w:val="single"/>
        </w:rPr>
        <w:t>(a)</w:t>
      </w:r>
      <w:r w:rsidRPr="000F3969">
        <w:rPr>
          <w:u w:val="single"/>
        </w:rPr>
        <w:t xml:space="preserve"> – Occasional Treatment </w:t>
      </w:r>
    </w:p>
    <w:p w:rsidR="000F3969" w:rsidRPr="000F3969" w:rsidRDefault="00A95371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Assessment and advice: 47(A</w:t>
      </w:r>
      <w:r w:rsidR="000F3969">
        <w:t>)</w:t>
      </w:r>
    </w:p>
    <w:p w:rsidR="000F3969" w:rsidRPr="000F3969" w:rsidRDefault="000F396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Issue of prescription: 48</w:t>
      </w:r>
    </w:p>
    <w:p w:rsidR="000F3969" w:rsidRPr="000F3969" w:rsidRDefault="000F396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Radiographs: 49(A), 49(B),</w:t>
      </w:r>
      <w:r w:rsidRPr="000F3969">
        <w:t xml:space="preserve"> </w:t>
      </w:r>
      <w:r>
        <w:t>49(C),</w:t>
      </w:r>
      <w:r w:rsidRPr="000F3969">
        <w:t xml:space="preserve"> </w:t>
      </w:r>
      <w:r>
        <w:t>49(D)</w:t>
      </w:r>
    </w:p>
    <w:p w:rsidR="000F3969" w:rsidRPr="000F3969" w:rsidRDefault="000F396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Photographs: 49(E)</w:t>
      </w:r>
    </w:p>
    <w:p w:rsidR="000F3969" w:rsidRPr="000F3969" w:rsidRDefault="000F396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Dressing and palliative treatment: 50(A)(1), 50(A)(2), 50(B), 50(E)</w:t>
      </w:r>
      <w:r w:rsidR="00A95371">
        <w:t>(1)</w:t>
      </w:r>
      <w:r>
        <w:t>, 50(G)</w:t>
      </w:r>
      <w:r w:rsidR="00A95371">
        <w:t>(1)</w:t>
      </w:r>
      <w:r>
        <w:t>, 50(H), 50(I)(1), 50(I)(2)</w:t>
      </w:r>
    </w:p>
    <w:p w:rsidR="000F3969" w:rsidRPr="00715099" w:rsidRDefault="000F396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Inlays, crowns, bridges: 51(A)(1), 51(</w:t>
      </w:r>
      <w:r w:rsidR="00715099">
        <w:t>A</w:t>
      </w:r>
      <w:r>
        <w:t>)(2), 51(</w:t>
      </w:r>
      <w:r w:rsidR="00715099">
        <w:t>C</w:t>
      </w:r>
      <w:r>
        <w:t>)(</w:t>
      </w:r>
      <w:r w:rsidR="00715099">
        <w:t>1), 51(C)(2), 51(D)(1), 51(D)(2)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Extractions: 52(1), 52(2)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Post operative care: 53(A)(1), 53(A)(2), 53(B)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rPr>
          <w:u w:val="single"/>
        </w:rPr>
      </w:pPr>
      <w:r>
        <w:t xml:space="preserve">Repairs/alterations to dentures: 55(A)(1), 55(A)(4), 55(B)(1), 55(C)(3), 55(E)(1), 55(E)(2), 55(E)(3), 55(E)(4), </w:t>
      </w:r>
      <w:r w:rsidR="00A95371">
        <w:t>55(E)</w:t>
      </w:r>
      <w:r>
        <w:t>Additional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rPr>
          <w:u w:val="single"/>
        </w:rPr>
      </w:pPr>
      <w:r>
        <w:t>Acute conditions: 56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rPr>
          <w:u w:val="single"/>
        </w:rPr>
      </w:pPr>
      <w:r>
        <w:t>Conservative treatment: 58(C)(2)</w:t>
      </w:r>
      <w:r w:rsidR="00A95371">
        <w:t>(1)</w:t>
      </w:r>
      <w:r>
        <w:t>, 58(E)</w:t>
      </w:r>
      <w:r w:rsidR="00817B7A">
        <w:t>(1)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jc w:val="both"/>
      </w:pPr>
      <w:r>
        <w:t>Treatment special to minors: 60(A)</w:t>
      </w:r>
    </w:p>
    <w:p w:rsidR="000F3969" w:rsidRPr="000F3969" w:rsidRDefault="00715099" w:rsidP="000F3969">
      <w:pPr>
        <w:pStyle w:val="ListParagraph"/>
        <w:ind w:left="360"/>
        <w:jc w:val="both"/>
        <w:rPr>
          <w:u w:val="single"/>
        </w:rPr>
      </w:pPr>
      <w:r>
        <w:rPr>
          <w:u w:val="single"/>
        </w:rPr>
        <w:t xml:space="preserve"> </w:t>
      </w:r>
    </w:p>
    <w:p w:rsidR="00E95968" w:rsidRDefault="004153D8" w:rsidP="000F3969">
      <w:pPr>
        <w:jc w:val="both"/>
        <w:rPr>
          <w:u w:val="single"/>
        </w:rPr>
      </w:pPr>
      <w:r w:rsidRPr="000F3969">
        <w:rPr>
          <w:u w:val="single"/>
        </w:rPr>
        <w:t>Section XV – Triage Activity</w:t>
      </w:r>
    </w:p>
    <w:p w:rsidR="00817B7A" w:rsidRPr="004E7FB7" w:rsidRDefault="00817B7A" w:rsidP="00817B7A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80(A), 80(B), 80(C), 80(D), 80(E), 80(F), 80(G), 80(H), 80(I)</w:t>
      </w:r>
    </w:p>
    <w:p w:rsidR="000F3969" w:rsidRPr="000F3969" w:rsidRDefault="000F3969" w:rsidP="000F3969">
      <w:pPr>
        <w:pStyle w:val="ListParagraph"/>
        <w:ind w:left="360"/>
        <w:jc w:val="both"/>
        <w:rPr>
          <w:u w:val="single"/>
        </w:rPr>
      </w:pPr>
    </w:p>
    <w:p w:rsidR="00E95968" w:rsidRPr="004D37F6" w:rsidRDefault="00E95968" w:rsidP="00E95968">
      <w:pPr>
        <w:jc w:val="both"/>
        <w:rPr>
          <w:b/>
          <w:u w:val="single"/>
        </w:rPr>
      </w:pPr>
      <w:r w:rsidRPr="004D37F6">
        <w:rPr>
          <w:b/>
          <w:u w:val="single"/>
        </w:rPr>
        <w:t>What treatment</w:t>
      </w:r>
      <w:r>
        <w:rPr>
          <w:b/>
          <w:u w:val="single"/>
        </w:rPr>
        <w:t>s</w:t>
      </w:r>
      <w:r w:rsidRPr="004D37F6">
        <w:rPr>
          <w:b/>
          <w:u w:val="single"/>
        </w:rPr>
        <w:t xml:space="preserve"> can be carried out</w:t>
      </w:r>
      <w:r>
        <w:rPr>
          <w:b/>
          <w:u w:val="single"/>
        </w:rPr>
        <w:t xml:space="preserve"> by Urgent Dental Care Centres</w:t>
      </w:r>
      <w:r w:rsidRPr="004D37F6">
        <w:rPr>
          <w:b/>
          <w:u w:val="single"/>
        </w:rPr>
        <w:t>?</w:t>
      </w:r>
    </w:p>
    <w:p w:rsidR="00807ADA" w:rsidRDefault="00807ADA" w:rsidP="00807ADA">
      <w:pPr>
        <w:jc w:val="both"/>
      </w:pPr>
      <w:r>
        <w:t xml:space="preserve">Treatment listed within the following section of SDR144 can </w:t>
      </w:r>
      <w:r w:rsidR="00E95968">
        <w:t xml:space="preserve">only </w:t>
      </w:r>
      <w:r>
        <w:t>be carried out by Urgent Dental Care Centres:</w:t>
      </w:r>
    </w:p>
    <w:p w:rsidR="006151E0" w:rsidRDefault="00807ADA" w:rsidP="00715099">
      <w:pPr>
        <w:jc w:val="both"/>
        <w:rPr>
          <w:u w:val="single"/>
        </w:rPr>
      </w:pPr>
      <w:r w:rsidRPr="00715099">
        <w:rPr>
          <w:u w:val="single"/>
        </w:rPr>
        <w:t>Section XII</w:t>
      </w:r>
      <w:r w:rsidR="00971984" w:rsidRPr="00715099">
        <w:rPr>
          <w:u w:val="single"/>
        </w:rPr>
        <w:t>(a)</w:t>
      </w:r>
      <w:r w:rsidRPr="00715099">
        <w:rPr>
          <w:u w:val="single"/>
        </w:rPr>
        <w:t xml:space="preserve"> – Occasional Treatment </w:t>
      </w:r>
    </w:p>
    <w:p w:rsidR="00715099" w:rsidRPr="00715099" w:rsidRDefault="00715099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As above</w:t>
      </w:r>
    </w:p>
    <w:p w:rsidR="00715099" w:rsidRPr="00715099" w:rsidRDefault="00715099" w:rsidP="00715099">
      <w:pPr>
        <w:pStyle w:val="ListParagraph"/>
        <w:ind w:left="360"/>
        <w:jc w:val="both"/>
        <w:rPr>
          <w:u w:val="single"/>
        </w:rPr>
      </w:pPr>
    </w:p>
    <w:p w:rsidR="00971984" w:rsidRDefault="00971984" w:rsidP="00715099">
      <w:pPr>
        <w:jc w:val="both"/>
        <w:rPr>
          <w:u w:val="single"/>
        </w:rPr>
      </w:pPr>
      <w:r w:rsidRPr="00715099">
        <w:rPr>
          <w:u w:val="single"/>
        </w:rPr>
        <w:t>Section XII(b) – Occasional Treatment – Urgent Dental Care Centre Only</w:t>
      </w:r>
    </w:p>
    <w:p w:rsidR="004E7FB7" w:rsidRPr="004E7FB7" w:rsidRDefault="004E7FB7" w:rsidP="004E7FB7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lastRenderedPageBreak/>
        <w:t>Dressing: 50(C)(1), 50(C)(2), 50(D)</w:t>
      </w:r>
      <w:r w:rsidR="00817B7A">
        <w:t>(1)</w:t>
      </w:r>
      <w:r>
        <w:t>, 50(G)(2), 50(G)(3)</w:t>
      </w:r>
      <w:r w:rsidR="00817B7A">
        <w:t>Additional</w:t>
      </w:r>
    </w:p>
    <w:p w:rsidR="004E7FB7" w:rsidRPr="004E7FB7" w:rsidRDefault="004E7FB7" w:rsidP="004E7FB7">
      <w:pPr>
        <w:pStyle w:val="ListParagraph"/>
        <w:numPr>
          <w:ilvl w:val="0"/>
          <w:numId w:val="18"/>
        </w:numPr>
        <w:ind w:left="426"/>
        <w:rPr>
          <w:u w:val="single"/>
        </w:rPr>
      </w:pPr>
      <w:r>
        <w:t>Extraction: 52(B)(1), 52(B)(2)(</w:t>
      </w:r>
      <w:r w:rsidR="00817B7A">
        <w:t>1</w:t>
      </w:r>
      <w:r>
        <w:t>), 52(B)(2)(</w:t>
      </w:r>
      <w:r w:rsidR="00817B7A">
        <w:t>2</w:t>
      </w:r>
      <w:r>
        <w:t>), 52(B)(2)(</w:t>
      </w:r>
      <w:r w:rsidR="00817B7A">
        <w:t>3</w:t>
      </w:r>
      <w:r>
        <w:t>), 52(B)(2)(</w:t>
      </w:r>
      <w:r w:rsidR="00817B7A">
        <w:t>4</w:t>
      </w:r>
      <w:r>
        <w:t>)</w:t>
      </w:r>
    </w:p>
    <w:p w:rsidR="004E7FB7" w:rsidRPr="004E7FB7" w:rsidRDefault="004E7FB7" w:rsidP="004E7FB7">
      <w:pPr>
        <w:pStyle w:val="ListParagraph"/>
        <w:numPr>
          <w:ilvl w:val="0"/>
          <w:numId w:val="18"/>
        </w:numPr>
        <w:ind w:left="426"/>
        <w:rPr>
          <w:u w:val="single"/>
        </w:rPr>
      </w:pPr>
      <w:r>
        <w:t>Domiciliary/recalled attendance: 57(A)(1), 57(A)(2),</w:t>
      </w:r>
      <w:r w:rsidRPr="004E7FB7">
        <w:t xml:space="preserve"> </w:t>
      </w:r>
      <w:r>
        <w:t>57(A)(3)</w:t>
      </w:r>
    </w:p>
    <w:p w:rsidR="004E7FB7" w:rsidRPr="004E7FB7" w:rsidRDefault="004E7FB7" w:rsidP="004E7FB7">
      <w:pPr>
        <w:pStyle w:val="ListParagraph"/>
        <w:numPr>
          <w:ilvl w:val="0"/>
          <w:numId w:val="18"/>
        </w:numPr>
        <w:ind w:left="426"/>
        <w:rPr>
          <w:u w:val="single"/>
        </w:rPr>
      </w:pPr>
      <w:r>
        <w:t>Conservative treatment: 58(B)(1), 58(B)(2),</w:t>
      </w:r>
      <w:r w:rsidRPr="004E7FB7">
        <w:t xml:space="preserve"> </w:t>
      </w:r>
      <w:r>
        <w:t>58(B)(3),</w:t>
      </w:r>
      <w:r w:rsidRPr="004E7FB7">
        <w:t xml:space="preserve"> </w:t>
      </w:r>
      <w:r>
        <w:t>58(B)(4), 58(C)(1)</w:t>
      </w:r>
      <w:r w:rsidR="00817B7A">
        <w:t>(1)</w:t>
      </w:r>
      <w:r>
        <w:t>,</w:t>
      </w:r>
      <w:r w:rsidRPr="004E7FB7">
        <w:t xml:space="preserve"> </w:t>
      </w:r>
      <w:r>
        <w:t>58(D),</w:t>
      </w:r>
      <w:r w:rsidRPr="004E7FB7">
        <w:t xml:space="preserve"> </w:t>
      </w:r>
      <w:r>
        <w:t>58(F)(1),</w:t>
      </w:r>
      <w:r w:rsidRPr="004E7FB7">
        <w:t xml:space="preserve"> </w:t>
      </w:r>
      <w:r>
        <w:t>58(F)(2),</w:t>
      </w:r>
      <w:r w:rsidRPr="004E7FB7">
        <w:t xml:space="preserve"> </w:t>
      </w:r>
      <w:r>
        <w:t>58(F)(3)</w:t>
      </w:r>
    </w:p>
    <w:p w:rsidR="004E7FB7" w:rsidRDefault="004E7FB7" w:rsidP="004E7FB7">
      <w:pPr>
        <w:pStyle w:val="ListParagraph"/>
        <w:numPr>
          <w:ilvl w:val="0"/>
          <w:numId w:val="18"/>
        </w:numPr>
        <w:ind w:left="426"/>
        <w:jc w:val="both"/>
      </w:pPr>
      <w:r>
        <w:t>Treatment special to minors: 60(B), 60(C), 60(D)</w:t>
      </w:r>
    </w:p>
    <w:p w:rsidR="004E7FB7" w:rsidRPr="004E7FB7" w:rsidRDefault="004E7FB7" w:rsidP="004E7FB7">
      <w:pPr>
        <w:pStyle w:val="ListParagraph"/>
        <w:ind w:left="426"/>
        <w:jc w:val="both"/>
        <w:rPr>
          <w:u w:val="single"/>
        </w:rPr>
      </w:pPr>
    </w:p>
    <w:p w:rsidR="00971984" w:rsidRPr="004E7FB7" w:rsidRDefault="00971984" w:rsidP="004E7FB7">
      <w:pPr>
        <w:ind w:left="66"/>
        <w:jc w:val="both"/>
        <w:rPr>
          <w:u w:val="single"/>
        </w:rPr>
      </w:pPr>
      <w:r w:rsidRPr="004E7FB7">
        <w:rPr>
          <w:u w:val="single"/>
        </w:rPr>
        <w:t>Section XV – Triage Activity</w:t>
      </w:r>
    </w:p>
    <w:p w:rsidR="00817B7A" w:rsidRPr="004E7FB7" w:rsidRDefault="00817B7A" w:rsidP="00817B7A">
      <w:pPr>
        <w:pStyle w:val="ListParagraph"/>
        <w:numPr>
          <w:ilvl w:val="0"/>
          <w:numId w:val="18"/>
        </w:numPr>
        <w:ind w:left="426"/>
        <w:jc w:val="both"/>
        <w:rPr>
          <w:u w:val="single"/>
        </w:rPr>
      </w:pPr>
      <w:r>
        <w:t>80(A), 80(B), 80(C), 80(D), 80(E), 80(F), 80(G), 80(H), 80(I)</w:t>
      </w:r>
    </w:p>
    <w:p w:rsidR="00E4523D" w:rsidRDefault="00E4523D" w:rsidP="00E4523D">
      <w:pPr>
        <w:pStyle w:val="ListParagraph"/>
        <w:jc w:val="both"/>
      </w:pPr>
    </w:p>
    <w:p w:rsidR="006151E0" w:rsidRPr="0034574D" w:rsidRDefault="001F0583" w:rsidP="006151E0">
      <w:pPr>
        <w:jc w:val="both"/>
        <w:rPr>
          <w:b/>
          <w:u w:val="single"/>
        </w:rPr>
      </w:pPr>
      <w:r>
        <w:rPr>
          <w:b/>
          <w:u w:val="single"/>
        </w:rPr>
        <w:t>Rec</w:t>
      </w:r>
      <w:r w:rsidR="007167A9">
        <w:rPr>
          <w:b/>
          <w:u w:val="single"/>
        </w:rPr>
        <w:t>ording treatment and submissions</w:t>
      </w:r>
    </w:p>
    <w:p w:rsidR="003647BA" w:rsidRDefault="006151E0" w:rsidP="00A30EF0">
      <w:pPr>
        <w:jc w:val="both"/>
      </w:pPr>
      <w:r>
        <w:t>All the items within SDR144 have a monetary value of £0.00, however, all treatment carried out must still be recorded in your practice system. You must also submit electronic claims to Practitioner Services for all treatment carried out</w:t>
      </w:r>
      <w:r w:rsidR="00287C45">
        <w:t>, including the new ‘Triage Activity’ codes</w:t>
      </w:r>
      <w:r>
        <w:t xml:space="preserve">. </w:t>
      </w:r>
    </w:p>
    <w:p w:rsidR="00AA6870" w:rsidRPr="0034574D" w:rsidRDefault="00AA6870" w:rsidP="00AA6870">
      <w:pPr>
        <w:jc w:val="both"/>
        <w:rPr>
          <w:b/>
          <w:u w:val="single"/>
        </w:rPr>
      </w:pPr>
      <w:r>
        <w:rPr>
          <w:b/>
          <w:u w:val="single"/>
        </w:rPr>
        <w:t>What should I do for a patient with an open course of treatment?</w:t>
      </w:r>
    </w:p>
    <w:p w:rsidR="00AA6870" w:rsidRDefault="00AA6870" w:rsidP="001F0583">
      <w:pPr>
        <w:jc w:val="both"/>
      </w:pPr>
      <w:r w:rsidRPr="00AA6870">
        <w:t xml:space="preserve">The open course </w:t>
      </w:r>
      <w:r>
        <w:t xml:space="preserve">of treatment </w:t>
      </w:r>
      <w:r w:rsidRPr="00AA6870">
        <w:t xml:space="preserve">should remain open in </w:t>
      </w:r>
      <w:r>
        <w:t>your</w:t>
      </w:r>
      <w:r w:rsidRPr="00AA6870">
        <w:t xml:space="preserve"> </w:t>
      </w:r>
      <w:r>
        <w:t>practice management system</w:t>
      </w:r>
      <w:r w:rsidRPr="00AA6870">
        <w:t xml:space="preserve"> until fu</w:t>
      </w:r>
      <w:r>
        <w:t xml:space="preserve">rther guidance has been issued </w:t>
      </w:r>
      <w:r w:rsidRPr="00AA6870">
        <w:t xml:space="preserve">by </w:t>
      </w:r>
      <w:r>
        <w:t xml:space="preserve">the </w:t>
      </w:r>
      <w:r w:rsidRPr="00AA6870">
        <w:t>S</w:t>
      </w:r>
      <w:r>
        <w:t xml:space="preserve">cottish </w:t>
      </w:r>
      <w:r w:rsidRPr="00AA6870">
        <w:t>G</w:t>
      </w:r>
      <w:r>
        <w:t>overnment.</w:t>
      </w:r>
      <w:r w:rsidRPr="00AA6870">
        <w:t xml:space="preserve"> </w:t>
      </w:r>
    </w:p>
    <w:p w:rsidR="00AA6870" w:rsidRDefault="00AA6870" w:rsidP="001F0583">
      <w:pPr>
        <w:jc w:val="both"/>
      </w:pPr>
      <w:r>
        <w:t>F</w:t>
      </w:r>
      <w:r w:rsidRPr="00AA6870">
        <w:t>or p</w:t>
      </w:r>
      <w:r>
        <w:t>atients being seen under SDR144, you</w:t>
      </w:r>
      <w:r w:rsidRPr="00AA6870">
        <w:t xml:space="preserve"> should open a new </w:t>
      </w:r>
      <w:r>
        <w:t xml:space="preserve">course of treatment to </w:t>
      </w:r>
      <w:r w:rsidRPr="00AA6870">
        <w:t xml:space="preserve">record </w:t>
      </w:r>
      <w:r>
        <w:t>the</w:t>
      </w:r>
      <w:r w:rsidRPr="00AA6870">
        <w:t xml:space="preserve"> </w:t>
      </w:r>
      <w:r>
        <w:t>treatment carried out (including the new triage codes) and mark that treatment as closed.</w:t>
      </w:r>
      <w:r w:rsidRPr="00AA6870">
        <w:t xml:space="preserve"> </w:t>
      </w:r>
    </w:p>
    <w:p w:rsidR="001F0583" w:rsidRPr="004D37F6" w:rsidRDefault="001F0583" w:rsidP="001F0583">
      <w:pPr>
        <w:jc w:val="both"/>
        <w:rPr>
          <w:b/>
          <w:u w:val="single"/>
        </w:rPr>
      </w:pPr>
      <w:r>
        <w:rPr>
          <w:b/>
          <w:u w:val="single"/>
        </w:rPr>
        <w:t>Patient’s signature</w:t>
      </w:r>
    </w:p>
    <w:p w:rsidR="00EF4F88" w:rsidRDefault="001F0583" w:rsidP="00E8260B">
      <w:pPr>
        <w:jc w:val="both"/>
      </w:pPr>
      <w:r>
        <w:t>I</w:t>
      </w:r>
      <w:r w:rsidRPr="00DF7819">
        <w:t>n order to avoid any unnecessary contact</w:t>
      </w:r>
      <w:r>
        <w:t>,</w:t>
      </w:r>
      <w:r w:rsidRPr="001F0583">
        <w:t xml:space="preserve"> </w:t>
      </w:r>
      <w:r>
        <w:t>p</w:t>
      </w:r>
      <w:r w:rsidRPr="00DF7819">
        <w:t>atient</w:t>
      </w:r>
      <w:r>
        <w:t>s are not required to sign for their treatment. This includes both the paper and electronic versions of the</w:t>
      </w:r>
      <w:r w:rsidR="00961464">
        <w:t xml:space="preserve"> GP17(PR) and GP17(PR)(O) forms. You should</w:t>
      </w:r>
      <w:r>
        <w:t xml:space="preserve"> </w:t>
      </w:r>
      <w:r w:rsidR="00961464">
        <w:t>complete</w:t>
      </w:r>
      <w:r>
        <w:t xml:space="preserve"> the patient</w:t>
      </w:r>
      <w:r w:rsidR="00961464">
        <w:t>’s signature on their behalf</w:t>
      </w:r>
      <w:r w:rsidR="00817B7A">
        <w:t xml:space="preserve">, using a </w:t>
      </w:r>
      <w:r w:rsidR="00EF4F88">
        <w:t>Covid specific desc</w:t>
      </w:r>
      <w:r w:rsidR="00817B7A">
        <w:t>ription</w:t>
      </w:r>
      <w:r w:rsidR="00EF4F88">
        <w:t xml:space="preserve">, ie </w:t>
      </w:r>
      <w:r w:rsidR="00817B7A">
        <w:t>‘</w:t>
      </w:r>
      <w:r w:rsidR="00EF4F88">
        <w:t xml:space="preserve">Covid 19 urgent </w:t>
      </w:r>
      <w:r w:rsidR="00857C5B">
        <w:t xml:space="preserve">NHS </w:t>
      </w:r>
      <w:r w:rsidR="00EF4F88">
        <w:t>dental care</w:t>
      </w:r>
      <w:r w:rsidR="00817B7A">
        <w:t>’.</w:t>
      </w:r>
    </w:p>
    <w:p w:rsidR="007F0858" w:rsidRPr="004D37F6" w:rsidRDefault="00EF4F88" w:rsidP="007F0858">
      <w:pPr>
        <w:jc w:val="both"/>
        <w:rPr>
          <w:b/>
          <w:u w:val="single"/>
        </w:rPr>
      </w:pPr>
      <w:r>
        <w:rPr>
          <w:b/>
          <w:u w:val="single"/>
        </w:rPr>
        <w:t>Patient</w:t>
      </w:r>
      <w:r w:rsidR="007F0858" w:rsidRPr="004D37F6">
        <w:rPr>
          <w:b/>
          <w:u w:val="single"/>
        </w:rPr>
        <w:t xml:space="preserve"> </w:t>
      </w:r>
      <w:r>
        <w:rPr>
          <w:b/>
          <w:u w:val="single"/>
        </w:rPr>
        <w:t>status</w:t>
      </w:r>
      <w:r w:rsidR="00F0654E">
        <w:rPr>
          <w:b/>
          <w:u w:val="single"/>
        </w:rPr>
        <w:t xml:space="preserve"> and registration</w:t>
      </w:r>
    </w:p>
    <w:p w:rsidR="00EF4F88" w:rsidRDefault="007F0858" w:rsidP="007F0858">
      <w:pPr>
        <w:jc w:val="both"/>
      </w:pPr>
      <w:r w:rsidRPr="00DF7819">
        <w:t>You will be expected to record the patient’s exemption</w:t>
      </w:r>
      <w:r w:rsidR="00E346D1">
        <w:t>/remission</w:t>
      </w:r>
      <w:r w:rsidRPr="00DF7819">
        <w:t xml:space="preserve"> </w:t>
      </w:r>
      <w:r>
        <w:t>status</w:t>
      </w:r>
      <w:r w:rsidRPr="00DF7819">
        <w:t xml:space="preserve"> as </w:t>
      </w:r>
      <w:r w:rsidR="00E346D1">
        <w:t>usual</w:t>
      </w:r>
      <w:r>
        <w:t>, irrespective of the fact the item of service charge and patient charge are zero</w:t>
      </w:r>
      <w:r w:rsidRPr="00DF7819">
        <w:t>.</w:t>
      </w:r>
    </w:p>
    <w:p w:rsidR="00EF4F88" w:rsidRPr="004D37F6" w:rsidRDefault="00EF4F88" w:rsidP="00EF4F88">
      <w:pPr>
        <w:jc w:val="both"/>
        <w:rPr>
          <w:b/>
          <w:u w:val="single"/>
        </w:rPr>
      </w:pPr>
      <w:r>
        <w:t xml:space="preserve">As all the items within SDR144 have a monetary value of £0.00, the patient charge for all items is also £0.00. </w:t>
      </w:r>
    </w:p>
    <w:p w:rsidR="00E4523D" w:rsidRDefault="00EF4F88" w:rsidP="007F0858">
      <w:pPr>
        <w:jc w:val="both"/>
      </w:pPr>
      <w:r>
        <w:t xml:space="preserve">Patients should not be charged for any treatment carried out under SDR144, </w:t>
      </w:r>
      <w:r w:rsidRPr="007F0858">
        <w:t xml:space="preserve">due to a reduced level of service being in place at </w:t>
      </w:r>
      <w:r>
        <w:t>present.</w:t>
      </w:r>
    </w:p>
    <w:p w:rsidR="00F0654E" w:rsidRPr="00F0654E" w:rsidRDefault="00F0654E" w:rsidP="007F0858">
      <w:pPr>
        <w:jc w:val="both"/>
      </w:pPr>
      <w:r>
        <w:t>There is no change to how the patient registration details should be entered, you should still select the patient’s registration details in the usual way.</w:t>
      </w:r>
    </w:p>
    <w:p w:rsidR="00E346D1" w:rsidRPr="00E346D1" w:rsidRDefault="00E346D1" w:rsidP="00E346D1">
      <w:pPr>
        <w:jc w:val="both"/>
        <w:rPr>
          <w:b/>
          <w:u w:val="single"/>
        </w:rPr>
      </w:pPr>
      <w:r w:rsidRPr="00E346D1">
        <w:rPr>
          <w:b/>
          <w:u w:val="single"/>
        </w:rPr>
        <w:t>Urgent Dental Care Centre</w:t>
      </w:r>
      <w:r>
        <w:rPr>
          <w:b/>
          <w:u w:val="single"/>
        </w:rPr>
        <w:t>s</w:t>
      </w:r>
      <w:r w:rsidRPr="00E346D1">
        <w:rPr>
          <w:b/>
          <w:u w:val="single"/>
        </w:rPr>
        <w:t xml:space="preserve"> (UDCC) </w:t>
      </w:r>
    </w:p>
    <w:p w:rsidR="00E346D1" w:rsidRDefault="00287C45" w:rsidP="00E346D1">
      <w:pPr>
        <w:jc w:val="both"/>
      </w:pPr>
      <w:r>
        <w:t>Dentists working within a UDCC</w:t>
      </w:r>
      <w:r w:rsidR="00E346D1">
        <w:t xml:space="preserve"> will have a new list number and must record activity against this new list number</w:t>
      </w:r>
      <w:r>
        <w:t xml:space="preserve"> when treating patients within the UDCC</w:t>
      </w:r>
      <w:r w:rsidR="00E346D1">
        <w:t xml:space="preserve">. </w:t>
      </w:r>
      <w:r w:rsidR="00494E8F">
        <w:t xml:space="preserve">This list number </w:t>
      </w:r>
      <w:r w:rsidR="00E95968">
        <w:t xml:space="preserve">can be used </w:t>
      </w:r>
      <w:r w:rsidR="0057027D">
        <w:t>for any claims with an acceptance date on or after 8 June 2020</w:t>
      </w:r>
      <w:r w:rsidR="00E95968">
        <w:t>.</w:t>
      </w:r>
    </w:p>
    <w:p w:rsidR="00777697" w:rsidRDefault="00777697" w:rsidP="0057027D">
      <w:pPr>
        <w:jc w:val="both"/>
      </w:pPr>
      <w:r>
        <w:t>When recording the</w:t>
      </w:r>
      <w:r w:rsidR="00961464">
        <w:t xml:space="preserve"> </w:t>
      </w:r>
      <w:r w:rsidR="00E346D1">
        <w:t>patient</w:t>
      </w:r>
      <w:r w:rsidR="00961464">
        <w:t>’s</w:t>
      </w:r>
      <w:r w:rsidR="00E346D1">
        <w:t xml:space="preserve"> exempt</w:t>
      </w:r>
      <w:r>
        <w:t xml:space="preserve">ion/remission status, </w:t>
      </w:r>
      <w:r w:rsidRPr="00777697">
        <w:rPr>
          <w:b/>
        </w:rPr>
        <w:t>d</w:t>
      </w:r>
      <w:r w:rsidR="00E346D1" w:rsidRPr="00777697">
        <w:rPr>
          <w:b/>
        </w:rPr>
        <w:t>o</w:t>
      </w:r>
      <w:r w:rsidR="00E346D1" w:rsidRPr="00E346D1">
        <w:rPr>
          <w:b/>
        </w:rPr>
        <w:t xml:space="preserve"> not</w:t>
      </w:r>
      <w:r w:rsidR="00E346D1">
        <w:t xml:space="preserve"> use ‘PDS non GDS’ against this list number or you</w:t>
      </w:r>
      <w:r w:rsidR="00287C45">
        <w:t>r</w:t>
      </w:r>
      <w:r w:rsidR="00E346D1">
        <w:t xml:space="preserve"> </w:t>
      </w:r>
      <w:r w:rsidR="00287C45">
        <w:t>claim submissions will be rejected</w:t>
      </w:r>
      <w:r>
        <w:t>, the</w:t>
      </w:r>
      <w:r w:rsidR="0057027D">
        <w:t xml:space="preserve"> patient’s</w:t>
      </w:r>
      <w:r>
        <w:t xml:space="preserve"> correct status </w:t>
      </w:r>
      <w:r w:rsidR="0057027D">
        <w:t>should be recorded.</w:t>
      </w:r>
    </w:p>
    <w:p w:rsidR="00F0654E" w:rsidRDefault="00F0654E" w:rsidP="0057027D">
      <w:pPr>
        <w:jc w:val="both"/>
      </w:pPr>
      <w:r>
        <w:t>There is no change to how the patient registration details should be entered, for example, if the patient is registered with the Public Dental Service and is seen in a UDCC, you would select ‘Patient is registered with another dentist in the same practice’.</w:t>
      </w:r>
    </w:p>
    <w:p w:rsidR="00F0654E" w:rsidRDefault="00F0654E" w:rsidP="0057027D">
      <w:pPr>
        <w:jc w:val="both"/>
      </w:pPr>
      <w:r>
        <w:t>If one dentist carries out the triage and a different dentist carries out the treatment, you can submit the treatment codes and triage codes on the same submission.</w:t>
      </w:r>
    </w:p>
    <w:p w:rsidR="004757EA" w:rsidRDefault="00F0654E" w:rsidP="00F0654E">
      <w:pPr>
        <w:pStyle w:val="Default"/>
      </w:pPr>
      <w:r>
        <w:t>View the</w:t>
      </w:r>
      <w:r w:rsidR="004757EA">
        <w:t xml:space="preserve"> </w:t>
      </w:r>
      <w:hyperlink r:id="rId13" w:history="1">
        <w:r w:rsidRPr="00F0654E">
          <w:rPr>
            <w:rStyle w:val="Hyperlink"/>
            <w:sz w:val="22"/>
            <w:szCs w:val="22"/>
          </w:rPr>
          <w:t>guidance</w:t>
        </w:r>
      </w:hyperlink>
      <w:r>
        <w:rPr>
          <w:sz w:val="22"/>
          <w:szCs w:val="22"/>
        </w:rPr>
        <w:t xml:space="preserve"> on how the data captured prior to the UDCC list numbers being set up should be submitted. </w:t>
      </w:r>
    </w:p>
    <w:p w:rsidR="00F0654E" w:rsidRDefault="00F0654E" w:rsidP="00F0654E">
      <w:pPr>
        <w:pStyle w:val="Default"/>
      </w:pPr>
    </w:p>
    <w:p w:rsidR="007E3C71" w:rsidRDefault="007E3C71" w:rsidP="007E3C7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Changes in the SDR</w:t>
      </w:r>
    </w:p>
    <w:p w:rsidR="007E3C71" w:rsidRDefault="00532B3B" w:rsidP="007E3C71">
      <w:pPr>
        <w:jc w:val="both"/>
      </w:pPr>
      <w:r>
        <w:t>There are several changes you may notice within SDR144:</w:t>
      </w:r>
    </w:p>
    <w:p w:rsidR="00532B3B" w:rsidRDefault="00532B3B" w:rsidP="00532B3B">
      <w:pPr>
        <w:pStyle w:val="ListParagraph"/>
        <w:numPr>
          <w:ilvl w:val="0"/>
          <w:numId w:val="7"/>
        </w:numPr>
        <w:jc w:val="both"/>
      </w:pPr>
      <w:r>
        <w:t>New items under item 80 to record Triage activity</w:t>
      </w:r>
      <w:r w:rsidR="00844FA4">
        <w:t>;</w:t>
      </w:r>
    </w:p>
    <w:p w:rsidR="00532B3B" w:rsidRDefault="00532B3B" w:rsidP="00532B3B">
      <w:pPr>
        <w:pStyle w:val="ListParagraph"/>
        <w:numPr>
          <w:ilvl w:val="0"/>
          <w:numId w:val="7"/>
        </w:numPr>
        <w:jc w:val="both"/>
      </w:pPr>
      <w:r>
        <w:t>New item 49(e) under Occasional Treatment for Colour Photographs</w:t>
      </w:r>
      <w:r w:rsidR="00844FA4">
        <w:t>;</w:t>
      </w:r>
    </w:p>
    <w:p w:rsidR="00532B3B" w:rsidRDefault="00532B3B" w:rsidP="00532B3B">
      <w:pPr>
        <w:pStyle w:val="ListParagraph"/>
        <w:numPr>
          <w:ilvl w:val="0"/>
          <w:numId w:val="7"/>
        </w:numPr>
        <w:jc w:val="both"/>
      </w:pPr>
      <w:r>
        <w:t>Change</w:t>
      </w:r>
      <w:r w:rsidR="00E86E7A">
        <w:t>s</w:t>
      </w:r>
      <w:r>
        <w:t xml:space="preserve"> in </w:t>
      </w:r>
      <w:r w:rsidR="00844FA4">
        <w:t xml:space="preserve">the </w:t>
      </w:r>
      <w:r w:rsidR="00444D29">
        <w:t xml:space="preserve">narratives </w:t>
      </w:r>
      <w:r w:rsidR="00E86E7A">
        <w:t>and provisos</w:t>
      </w:r>
      <w:r>
        <w:t xml:space="preserve"> </w:t>
      </w:r>
      <w:r w:rsidR="00844FA4">
        <w:t>for</w:t>
      </w:r>
      <w:r>
        <w:t xml:space="preserve"> some items</w:t>
      </w:r>
      <w:r w:rsidR="00844FA4">
        <w:t>;</w:t>
      </w:r>
    </w:p>
    <w:p w:rsidR="007E3C71" w:rsidRDefault="00844FA4" w:rsidP="007E3C71">
      <w:pPr>
        <w:pStyle w:val="ListParagraph"/>
        <w:numPr>
          <w:ilvl w:val="0"/>
          <w:numId w:val="7"/>
        </w:numPr>
        <w:jc w:val="both"/>
      </w:pPr>
      <w:r>
        <w:t>E</w:t>
      </w:r>
      <w:r w:rsidR="00532B3B">
        <w:t xml:space="preserve">xtractions have changed to ‘per tooth’, as there is no </w:t>
      </w:r>
      <w:r>
        <w:t>payment associated with the codes</w:t>
      </w:r>
      <w:r w:rsidR="005D3FAA">
        <w:t>;</w:t>
      </w:r>
    </w:p>
    <w:p w:rsidR="005D3FAA" w:rsidRDefault="005D3FAA" w:rsidP="007E3C71">
      <w:pPr>
        <w:pStyle w:val="ListParagraph"/>
        <w:numPr>
          <w:ilvl w:val="0"/>
          <w:numId w:val="7"/>
        </w:numPr>
        <w:jc w:val="both"/>
      </w:pPr>
      <w:r>
        <w:t>This also affec</w:t>
      </w:r>
      <w:r w:rsidR="00FE2030">
        <w:t>ts</w:t>
      </w:r>
      <w:r>
        <w:t xml:space="preserve"> some codes for fillings, which have changed fr</w:t>
      </w:r>
      <w:r w:rsidR="00D43DF2">
        <w:t>om ‘per filling’ to ‘per tooth’, ie code 1426.</w:t>
      </w:r>
    </w:p>
    <w:p w:rsidR="00287C45" w:rsidRDefault="00287C45" w:rsidP="00287C45">
      <w:pPr>
        <w:pStyle w:val="ListParagraph"/>
        <w:jc w:val="both"/>
      </w:pPr>
    </w:p>
    <w:p w:rsidR="0034574D" w:rsidRPr="002F0C00" w:rsidRDefault="003C1A82" w:rsidP="002F0C00">
      <w:pPr>
        <w:tabs>
          <w:tab w:val="right" w:pos="10490"/>
        </w:tabs>
        <w:jc w:val="both"/>
        <w:rPr>
          <w:b/>
          <w:u w:val="single"/>
        </w:rPr>
      </w:pPr>
      <w:r>
        <w:rPr>
          <w:b/>
          <w:u w:val="single"/>
        </w:rPr>
        <w:t>Updates to your practice management</w:t>
      </w:r>
      <w:r w:rsidR="00D43DF2">
        <w:rPr>
          <w:b/>
          <w:u w:val="single"/>
        </w:rPr>
        <w:t xml:space="preserve"> system</w:t>
      </w:r>
      <w:r>
        <w:rPr>
          <w:b/>
          <w:u w:val="single"/>
        </w:rPr>
        <w:t xml:space="preserve"> (PMS)</w:t>
      </w:r>
      <w:r w:rsidR="0034574D" w:rsidRPr="002F0C00">
        <w:rPr>
          <w:b/>
          <w:u w:val="single"/>
        </w:rPr>
        <w:t>?</w:t>
      </w:r>
    </w:p>
    <w:p w:rsidR="00D43DF2" w:rsidRDefault="00D43DF2" w:rsidP="0034574D">
      <w:pPr>
        <w:jc w:val="both"/>
      </w:pPr>
      <w:r>
        <w:t>PMS suppliers are aware and are working on the changes.</w:t>
      </w:r>
    </w:p>
    <w:p w:rsidR="00BC0B82" w:rsidRDefault="003C1A82" w:rsidP="0034574D">
      <w:pPr>
        <w:jc w:val="both"/>
      </w:pPr>
      <w:r>
        <w:t>Visit</w:t>
      </w:r>
      <w:r w:rsidRPr="003F4CD4">
        <w:t xml:space="preserve"> </w:t>
      </w:r>
      <w:r>
        <w:t xml:space="preserve">the </w:t>
      </w:r>
      <w:hyperlink r:id="rId14" w:history="1">
        <w:r w:rsidRPr="00EB1C81">
          <w:rPr>
            <w:rStyle w:val="Hyperlink"/>
          </w:rPr>
          <w:t>Covid-19 section</w:t>
        </w:r>
      </w:hyperlink>
      <w:r>
        <w:t xml:space="preserve"> of our web site to see when</w:t>
      </w:r>
      <w:r w:rsidRPr="00EB1C81">
        <w:t xml:space="preserve"> </w:t>
      </w:r>
      <w:r>
        <w:t>your</w:t>
      </w:r>
      <w:r w:rsidRPr="00EB1C81">
        <w:t xml:space="preserve"> supplier </w:t>
      </w:r>
      <w:r>
        <w:t>has indicated they will</w:t>
      </w:r>
      <w:r w:rsidRPr="003F4CD4">
        <w:t xml:space="preserve"> </w:t>
      </w:r>
      <w:r>
        <w:t>make the update available to you. You will only be able to</w:t>
      </w:r>
      <w:r w:rsidR="00BC0B82">
        <w:t xml:space="preserve"> submit claims for treatment carried out under SDR144 </w:t>
      </w:r>
      <w:r>
        <w:t>when</w:t>
      </w:r>
      <w:r w:rsidR="00BC0B82">
        <w:t xml:space="preserve"> your supplier has either updated yo</w:t>
      </w:r>
      <w:r w:rsidR="003F4CD4">
        <w:t>ur system or made the update av</w:t>
      </w:r>
      <w:r w:rsidR="00BC0B82">
        <w:t xml:space="preserve">ailable to you </w:t>
      </w:r>
      <w:r w:rsidR="003F4CD4">
        <w:t xml:space="preserve">to update your system. </w:t>
      </w:r>
    </w:p>
    <w:p w:rsidR="00252550" w:rsidRDefault="00252550" w:rsidP="0075480F">
      <w:pPr>
        <w:jc w:val="both"/>
      </w:pPr>
      <w:r>
        <w:t xml:space="preserve">If you get system updates from a download or from a disc, you </w:t>
      </w:r>
      <w:r w:rsidR="00EB1C81">
        <w:t xml:space="preserve">will </w:t>
      </w:r>
      <w:r>
        <w:t>need to do this as soon as your supplier informs you the update is ready.</w:t>
      </w:r>
    </w:p>
    <w:p w:rsidR="0075480F" w:rsidRPr="002F0C00" w:rsidRDefault="0075480F" w:rsidP="0075480F">
      <w:pPr>
        <w:tabs>
          <w:tab w:val="right" w:pos="10490"/>
        </w:tabs>
        <w:jc w:val="both"/>
        <w:rPr>
          <w:b/>
          <w:u w:val="single"/>
        </w:rPr>
      </w:pPr>
      <w:r>
        <w:rPr>
          <w:b/>
          <w:u w:val="single"/>
        </w:rPr>
        <w:t>Web form users</w:t>
      </w:r>
    </w:p>
    <w:p w:rsidR="0075480F" w:rsidRDefault="0075480F" w:rsidP="0075480F">
      <w:pPr>
        <w:jc w:val="both"/>
        <w:rPr>
          <w:color w:val="FF0000"/>
        </w:rPr>
      </w:pPr>
      <w:r>
        <w:t>The web form has been updated with the new SDR144, so all new codes are a</w:t>
      </w:r>
      <w:r w:rsidR="006D1EE6">
        <w:t>vailable for use.</w:t>
      </w:r>
    </w:p>
    <w:p w:rsidR="00EF4F88" w:rsidRPr="004D37F6" w:rsidRDefault="00EF4F88" w:rsidP="00EF4F88">
      <w:pPr>
        <w:jc w:val="both"/>
        <w:rPr>
          <w:b/>
          <w:u w:val="single"/>
        </w:rPr>
      </w:pPr>
      <w:r>
        <w:rPr>
          <w:b/>
          <w:u w:val="single"/>
        </w:rPr>
        <w:t>Prior Approval</w:t>
      </w:r>
    </w:p>
    <w:p w:rsidR="0075480F" w:rsidRPr="00020166" w:rsidRDefault="00EF4F88">
      <w:pPr>
        <w:jc w:val="both"/>
      </w:pPr>
      <w:r>
        <w:t xml:space="preserve">None of the </w:t>
      </w:r>
      <w:r w:rsidR="00E95968">
        <w:t xml:space="preserve">individual </w:t>
      </w:r>
      <w:r>
        <w:t>items within SDR144 require prior approva</w:t>
      </w:r>
      <w:r w:rsidR="00E95968">
        <w:t xml:space="preserve">l and all items have a zero value. Any items within SDR144 that used to be discretionary codes, ie 3239 and 3240, are no longer discretionary. Therefore, </w:t>
      </w:r>
      <w:r>
        <w:t>prior approval has been temporarily suspended.</w:t>
      </w:r>
    </w:p>
    <w:sectPr w:rsidR="0075480F" w:rsidRPr="00020166" w:rsidSect="00EE603E">
      <w:footerReference w:type="default" r:id="rId15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F4" w:rsidRDefault="002B2DF4" w:rsidP="00E95968">
      <w:pPr>
        <w:spacing w:after="0" w:line="240" w:lineRule="auto"/>
      </w:pPr>
      <w:r>
        <w:separator/>
      </w:r>
    </w:p>
  </w:endnote>
  <w:endnote w:type="continuationSeparator" w:id="0">
    <w:p w:rsidR="002B2DF4" w:rsidRDefault="002B2DF4" w:rsidP="00E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099" w:rsidRDefault="00715099" w:rsidP="00F01A29">
        <w:pPr>
          <w:pStyle w:val="Footer"/>
          <w:tabs>
            <w:tab w:val="clear" w:pos="4513"/>
            <w:tab w:val="clear" w:pos="9026"/>
            <w:tab w:val="right" w:pos="10348"/>
          </w:tabs>
        </w:pPr>
        <w:r>
          <w:t xml:space="preserve">   Communication on SDR144                                                          </w:t>
        </w:r>
        <w:r w:rsidR="00137B56">
          <w:fldChar w:fldCharType="begin"/>
        </w:r>
        <w:r>
          <w:instrText xml:space="preserve"> PAGE   \* MERGEFORMAT </w:instrText>
        </w:r>
        <w:r w:rsidR="00137B56">
          <w:fldChar w:fldCharType="separate"/>
        </w:r>
        <w:r w:rsidR="00AD6199">
          <w:rPr>
            <w:noProof/>
          </w:rPr>
          <w:t>1</w:t>
        </w:r>
        <w:r w:rsidR="00137B56"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t>v0.1   15/06/2020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F4" w:rsidRDefault="002B2DF4" w:rsidP="00E95968">
      <w:pPr>
        <w:spacing w:after="0" w:line="240" w:lineRule="auto"/>
      </w:pPr>
      <w:r>
        <w:separator/>
      </w:r>
    </w:p>
  </w:footnote>
  <w:footnote w:type="continuationSeparator" w:id="0">
    <w:p w:rsidR="002B2DF4" w:rsidRDefault="002B2DF4" w:rsidP="00E9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4EE"/>
    <w:multiLevelType w:val="hybridMultilevel"/>
    <w:tmpl w:val="D2B05D44"/>
    <w:lvl w:ilvl="0" w:tplc="16A29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1">
    <w:nsid w:val="0E59106D"/>
    <w:multiLevelType w:val="hybridMultilevel"/>
    <w:tmpl w:val="8040BC40"/>
    <w:lvl w:ilvl="0" w:tplc="16A29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2">
    <w:nsid w:val="0EB74429"/>
    <w:multiLevelType w:val="hybridMultilevel"/>
    <w:tmpl w:val="541AD428"/>
    <w:lvl w:ilvl="0" w:tplc="16A29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3">
    <w:nsid w:val="1B984727"/>
    <w:multiLevelType w:val="hybridMultilevel"/>
    <w:tmpl w:val="B4107D02"/>
    <w:lvl w:ilvl="0" w:tplc="16A29B6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</w:abstractNum>
  <w:abstractNum w:abstractNumId="4">
    <w:nsid w:val="1EDE5964"/>
    <w:multiLevelType w:val="hybridMultilevel"/>
    <w:tmpl w:val="232E1A68"/>
    <w:lvl w:ilvl="0" w:tplc="16A29B6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</w:abstractNum>
  <w:abstractNum w:abstractNumId="5">
    <w:nsid w:val="2F83676D"/>
    <w:multiLevelType w:val="hybridMultilevel"/>
    <w:tmpl w:val="2BB4F74A"/>
    <w:lvl w:ilvl="0" w:tplc="16A29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6">
    <w:nsid w:val="347C31E7"/>
    <w:multiLevelType w:val="hybridMultilevel"/>
    <w:tmpl w:val="6D0E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21F6A"/>
    <w:multiLevelType w:val="hybridMultilevel"/>
    <w:tmpl w:val="4B1024AC"/>
    <w:lvl w:ilvl="0" w:tplc="A37E93EC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FC94288"/>
    <w:multiLevelType w:val="hybridMultilevel"/>
    <w:tmpl w:val="A184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337B3"/>
    <w:multiLevelType w:val="hybridMultilevel"/>
    <w:tmpl w:val="F97C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44401"/>
    <w:multiLevelType w:val="hybridMultilevel"/>
    <w:tmpl w:val="EB6AF5E2"/>
    <w:lvl w:ilvl="0" w:tplc="16A29B64">
      <w:start w:val="2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594E435F"/>
    <w:multiLevelType w:val="hybridMultilevel"/>
    <w:tmpl w:val="8A7A06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5E117A"/>
    <w:multiLevelType w:val="hybridMultilevel"/>
    <w:tmpl w:val="6FE64F76"/>
    <w:lvl w:ilvl="0" w:tplc="76EEE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6889"/>
    <w:multiLevelType w:val="hybridMultilevel"/>
    <w:tmpl w:val="15F8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11D86"/>
    <w:multiLevelType w:val="hybridMultilevel"/>
    <w:tmpl w:val="5F64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D3FA5"/>
    <w:multiLevelType w:val="hybridMultilevel"/>
    <w:tmpl w:val="9D9868CE"/>
    <w:lvl w:ilvl="0" w:tplc="16A29B64">
      <w:start w:val="2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D2A38"/>
    <w:multiLevelType w:val="hybridMultilevel"/>
    <w:tmpl w:val="D2106DEE"/>
    <w:lvl w:ilvl="0" w:tplc="16A29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17">
    <w:nsid w:val="7FE83C8D"/>
    <w:multiLevelType w:val="hybridMultilevel"/>
    <w:tmpl w:val="5C00E150"/>
    <w:lvl w:ilvl="0" w:tplc="6A0E07D2">
      <w:start w:val="2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16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2B11"/>
    <w:rsid w:val="000005FD"/>
    <w:rsid w:val="00020166"/>
    <w:rsid w:val="00044661"/>
    <w:rsid w:val="00053319"/>
    <w:rsid w:val="00053552"/>
    <w:rsid w:val="00097F3A"/>
    <w:rsid w:val="000F1A16"/>
    <w:rsid w:val="000F3969"/>
    <w:rsid w:val="00121826"/>
    <w:rsid w:val="00137B56"/>
    <w:rsid w:val="00182666"/>
    <w:rsid w:val="00186BAE"/>
    <w:rsid w:val="001A4C8B"/>
    <w:rsid w:val="001F0583"/>
    <w:rsid w:val="001F2641"/>
    <w:rsid w:val="0020295C"/>
    <w:rsid w:val="002204A1"/>
    <w:rsid w:val="0022182D"/>
    <w:rsid w:val="0024478A"/>
    <w:rsid w:val="00252550"/>
    <w:rsid w:val="00287C45"/>
    <w:rsid w:val="002B2DF4"/>
    <w:rsid w:val="002B3952"/>
    <w:rsid w:val="002F0C00"/>
    <w:rsid w:val="002F4E5C"/>
    <w:rsid w:val="003019F4"/>
    <w:rsid w:val="0031272C"/>
    <w:rsid w:val="00327011"/>
    <w:rsid w:val="0032744A"/>
    <w:rsid w:val="0034574D"/>
    <w:rsid w:val="003603FA"/>
    <w:rsid w:val="00362A8B"/>
    <w:rsid w:val="003647BA"/>
    <w:rsid w:val="00382909"/>
    <w:rsid w:val="003C1A82"/>
    <w:rsid w:val="003F07A9"/>
    <w:rsid w:val="003F4CD4"/>
    <w:rsid w:val="004153D8"/>
    <w:rsid w:val="00440848"/>
    <w:rsid w:val="00444D29"/>
    <w:rsid w:val="004757EA"/>
    <w:rsid w:val="00494E8F"/>
    <w:rsid w:val="00496C33"/>
    <w:rsid w:val="004C6D52"/>
    <w:rsid w:val="004D37F6"/>
    <w:rsid w:val="004D6035"/>
    <w:rsid w:val="004E7FB7"/>
    <w:rsid w:val="00504388"/>
    <w:rsid w:val="00532B3B"/>
    <w:rsid w:val="0053446D"/>
    <w:rsid w:val="0057027D"/>
    <w:rsid w:val="00583A1A"/>
    <w:rsid w:val="0059291B"/>
    <w:rsid w:val="005A09B2"/>
    <w:rsid w:val="005D3FAA"/>
    <w:rsid w:val="005F116B"/>
    <w:rsid w:val="006151E0"/>
    <w:rsid w:val="006179BB"/>
    <w:rsid w:val="00637304"/>
    <w:rsid w:val="00653679"/>
    <w:rsid w:val="006717A2"/>
    <w:rsid w:val="00673435"/>
    <w:rsid w:val="006A2A02"/>
    <w:rsid w:val="006D1EE6"/>
    <w:rsid w:val="006D53A3"/>
    <w:rsid w:val="006E2735"/>
    <w:rsid w:val="006E2B11"/>
    <w:rsid w:val="00715099"/>
    <w:rsid w:val="007167A9"/>
    <w:rsid w:val="00726C8F"/>
    <w:rsid w:val="00745B04"/>
    <w:rsid w:val="0075480F"/>
    <w:rsid w:val="00777697"/>
    <w:rsid w:val="007B69A5"/>
    <w:rsid w:val="007E170D"/>
    <w:rsid w:val="007E3C71"/>
    <w:rsid w:val="007E695C"/>
    <w:rsid w:val="007F0858"/>
    <w:rsid w:val="00801388"/>
    <w:rsid w:val="00807ADA"/>
    <w:rsid w:val="00817B7A"/>
    <w:rsid w:val="00844FA4"/>
    <w:rsid w:val="00857C5B"/>
    <w:rsid w:val="00862864"/>
    <w:rsid w:val="008A58D1"/>
    <w:rsid w:val="008C49A3"/>
    <w:rsid w:val="009341A0"/>
    <w:rsid w:val="00956437"/>
    <w:rsid w:val="00961464"/>
    <w:rsid w:val="00971984"/>
    <w:rsid w:val="009943EF"/>
    <w:rsid w:val="009B51AA"/>
    <w:rsid w:val="00A30EF0"/>
    <w:rsid w:val="00A4690D"/>
    <w:rsid w:val="00A912BD"/>
    <w:rsid w:val="00A95371"/>
    <w:rsid w:val="00AA6870"/>
    <w:rsid w:val="00AC6199"/>
    <w:rsid w:val="00AD6199"/>
    <w:rsid w:val="00AE12FE"/>
    <w:rsid w:val="00AF3BB2"/>
    <w:rsid w:val="00B21CB0"/>
    <w:rsid w:val="00B54647"/>
    <w:rsid w:val="00B63099"/>
    <w:rsid w:val="00B66219"/>
    <w:rsid w:val="00BC0B82"/>
    <w:rsid w:val="00C05F45"/>
    <w:rsid w:val="00C255E6"/>
    <w:rsid w:val="00C324A4"/>
    <w:rsid w:val="00C7551A"/>
    <w:rsid w:val="00C764BF"/>
    <w:rsid w:val="00C85148"/>
    <w:rsid w:val="00C90606"/>
    <w:rsid w:val="00CB0F60"/>
    <w:rsid w:val="00D14E65"/>
    <w:rsid w:val="00D43DF2"/>
    <w:rsid w:val="00D50490"/>
    <w:rsid w:val="00D66B84"/>
    <w:rsid w:val="00D714D5"/>
    <w:rsid w:val="00D732F6"/>
    <w:rsid w:val="00DD7E0E"/>
    <w:rsid w:val="00DF7819"/>
    <w:rsid w:val="00E00277"/>
    <w:rsid w:val="00E346D1"/>
    <w:rsid w:val="00E4523D"/>
    <w:rsid w:val="00E8260B"/>
    <w:rsid w:val="00E8636B"/>
    <w:rsid w:val="00E86E7A"/>
    <w:rsid w:val="00E9444F"/>
    <w:rsid w:val="00E95968"/>
    <w:rsid w:val="00EB1C81"/>
    <w:rsid w:val="00ED58B1"/>
    <w:rsid w:val="00EE603E"/>
    <w:rsid w:val="00EF4F88"/>
    <w:rsid w:val="00F01A29"/>
    <w:rsid w:val="00F0654E"/>
    <w:rsid w:val="00F333E6"/>
    <w:rsid w:val="00FD479C"/>
    <w:rsid w:val="00FD5167"/>
    <w:rsid w:val="00FE2030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8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73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3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68"/>
  </w:style>
  <w:style w:type="paragraph" w:styleId="Footer">
    <w:name w:val="footer"/>
    <w:basedOn w:val="Normal"/>
    <w:link w:val="FooterChar"/>
    <w:uiPriority w:val="99"/>
    <w:unhideWhenUsed/>
    <w:rsid w:val="00E9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68"/>
  </w:style>
  <w:style w:type="character" w:styleId="FollowedHyperlink">
    <w:name w:val="FollowedHyperlink"/>
    <w:basedOn w:val="DefaultParagraphFont"/>
    <w:uiPriority w:val="99"/>
    <w:semiHidden/>
    <w:unhideWhenUsed/>
    <w:rsid w:val="00D66B84"/>
    <w:rPr>
      <w:color w:val="954F72" w:themeColor="followedHyperlink"/>
      <w:u w:val="single"/>
    </w:rPr>
  </w:style>
  <w:style w:type="paragraph" w:customStyle="1" w:styleId="Default">
    <w:name w:val="Default"/>
    <w:rsid w:val="00F0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hsnss.org/media/4210/communication-for-dental-directors-udcc-v1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ttishdental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hd.scot.nhs.uk/pca/PCA2020(D)0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hsnss.org/services/practitioner/dental/dental-covid-19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2541A73107645A4579D8848C2BFA4" ma:contentTypeVersion="13" ma:contentTypeDescription="Create a new document." ma:contentTypeScope="" ma:versionID="67d83c4ae8fc6fad294e34fd394d1f74">
  <xsd:schema xmlns:xsd="http://www.w3.org/2001/XMLSchema" xmlns:xs="http://www.w3.org/2001/XMLSchema" xmlns:p="http://schemas.microsoft.com/office/2006/metadata/properties" xmlns:ns3="a424e63c-1fcd-432d-be03-e0b381930ef6" xmlns:ns4="6d7def11-2fe4-4747-9030-b2d20c5fd2af" targetNamespace="http://schemas.microsoft.com/office/2006/metadata/properties" ma:root="true" ma:fieldsID="61593fdc24a4534fa6aef49794ac976d" ns3:_="" ns4:_="">
    <xsd:import namespace="a424e63c-1fcd-432d-be03-e0b381930ef6"/>
    <xsd:import namespace="6d7def11-2fe4-4747-9030-b2d20c5fd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4e63c-1fcd-432d-be03-e0b381930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def11-2fe4-4747-9030-b2d20c5fd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D9D0-EF2E-4FC0-BE21-DA7BD95DF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04AA9-5DE7-4805-9928-B2FBED1F0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98766-4F55-481D-B266-9D7227EF4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4e63c-1fcd-432d-be03-e0b381930ef6"/>
    <ds:schemaRef ds:uri="6d7def11-2fe4-4747-9030-b2d20c5fd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DBEAF-F3CA-4B1F-9E75-8EDE5F6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Johnmc01@nss.scot.nhs.uk</dc:creator>
  <cp:lastModifiedBy>ARMSTLI614</cp:lastModifiedBy>
  <cp:revision>2</cp:revision>
  <dcterms:created xsi:type="dcterms:W3CDTF">2020-06-19T13:05:00Z</dcterms:created>
  <dcterms:modified xsi:type="dcterms:W3CDTF">2020-06-19T13:05:00Z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0x0101006D52541A73107645A4579D8848C2BFA4</vt:lpwstr>
  </property>
</Properties>
</file>